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E9272">
      <w:pPr>
        <w:ind w:firstLine="1572"/>
        <w:rPr>
          <w:rFonts w:ascii="宋体" w:hAnsi="宋体"/>
          <w:b/>
          <w:w w:val="150"/>
          <w:sz w:val="52"/>
        </w:rPr>
      </w:pPr>
    </w:p>
    <w:p w14:paraId="5F8273B8">
      <w:pPr>
        <w:spacing w:beforeLines="100" w:line="2000" w:lineRule="exact"/>
        <w:jc w:val="center"/>
        <w:rPr>
          <w:rFonts w:ascii="宋体" w:hAnsi="宋体"/>
          <w:b/>
          <w:bCs/>
          <w:spacing w:val="-100"/>
          <w:sz w:val="108"/>
          <w:szCs w:val="108"/>
        </w:rPr>
      </w:pPr>
      <w:r>
        <w:rPr>
          <w:rFonts w:hint="eastAsia" w:ascii="宋体" w:hAnsi="宋体"/>
          <w:b/>
          <w:bCs/>
          <w:spacing w:val="-100"/>
          <w:sz w:val="108"/>
          <w:szCs w:val="108"/>
        </w:rPr>
        <w:t>询 价 文 件</w:t>
      </w:r>
    </w:p>
    <w:p w14:paraId="54012817">
      <w:pPr>
        <w:rPr>
          <w:rFonts w:ascii="宋体" w:hAnsi="宋体"/>
          <w:b/>
          <w:bCs/>
          <w:sz w:val="48"/>
          <w:szCs w:val="48"/>
        </w:rPr>
      </w:pPr>
    </w:p>
    <w:p w14:paraId="5AA7D30D">
      <w:pPr>
        <w:rPr>
          <w:rFonts w:ascii="宋体" w:hAnsi="宋体"/>
          <w:sz w:val="24"/>
        </w:rPr>
      </w:pPr>
    </w:p>
    <w:p w14:paraId="317A4425">
      <w:pPr>
        <w:tabs>
          <w:tab w:val="left" w:pos="1140"/>
        </w:tabs>
        <w:ind w:firstLine="1510" w:firstLineChars="472"/>
        <w:rPr>
          <w:rFonts w:ascii="宋体" w:hAnsi="宋体"/>
          <w:sz w:val="32"/>
        </w:rPr>
      </w:pPr>
    </w:p>
    <w:p w14:paraId="68EAB1D8">
      <w:pPr>
        <w:pStyle w:val="16"/>
      </w:pPr>
    </w:p>
    <w:p w14:paraId="5FC5BB0A"/>
    <w:p w14:paraId="27903DEC">
      <w:pPr>
        <w:spacing w:line="360" w:lineRule="auto"/>
        <w:ind w:firstLine="1446" w:firstLineChars="400"/>
        <w:rPr>
          <w:rFonts w:ascii="宋体" w:hAnsi="宋体"/>
          <w:sz w:val="32"/>
        </w:rPr>
      </w:pPr>
      <w:r>
        <w:rPr>
          <w:rFonts w:hint="eastAsia" w:ascii="宋体" w:hAnsi="宋体"/>
          <w:b/>
          <w:sz w:val="36"/>
          <w:szCs w:val="36"/>
        </w:rPr>
        <w:t>采购编号：</w:t>
      </w:r>
      <w:r>
        <w:rPr>
          <w:rFonts w:hint="eastAsia" w:ascii="宋体" w:hAnsi="宋体"/>
          <w:b/>
          <w:sz w:val="36"/>
          <w:szCs w:val="36"/>
          <w:u w:val="single"/>
        </w:rPr>
        <w:t xml:space="preserve">        </w:t>
      </w:r>
      <w:r>
        <w:rPr>
          <w:rFonts w:hint="eastAsia" w:ascii="宋体" w:hAnsi="宋体"/>
          <w:bCs/>
          <w:sz w:val="24"/>
          <w:u w:val="single"/>
        </w:rPr>
        <w:t>QZSFXYTSG2022002</w:t>
      </w:r>
      <w:r>
        <w:rPr>
          <w:rFonts w:hint="eastAsia" w:ascii="宋体" w:hAnsi="宋体" w:cs="Arial"/>
          <w:b/>
          <w:sz w:val="36"/>
          <w:szCs w:val="36"/>
          <w:u w:val="single"/>
        </w:rPr>
        <w:t xml:space="preserve">        </w:t>
      </w:r>
    </w:p>
    <w:p w14:paraId="13157EE9">
      <w:pPr>
        <w:ind w:firstLine="1446" w:firstLineChars="400"/>
        <w:rPr>
          <w:rFonts w:ascii="宋体" w:hAnsi="宋体" w:cs="Arial"/>
          <w:b/>
          <w:sz w:val="36"/>
          <w:szCs w:val="36"/>
          <w:u w:val="single"/>
        </w:rPr>
      </w:pPr>
      <w:r>
        <w:rPr>
          <w:rFonts w:hint="eastAsia" w:ascii="宋体" w:hAnsi="宋体"/>
          <w:b/>
          <w:sz w:val="36"/>
          <w:szCs w:val="36"/>
        </w:rPr>
        <w:t>项目名称：</w:t>
      </w:r>
      <w:r>
        <w:rPr>
          <w:rFonts w:hint="eastAsia" w:ascii="宋体" w:hAnsi="宋体"/>
          <w:b/>
          <w:sz w:val="36"/>
          <w:szCs w:val="36"/>
          <w:u w:val="single"/>
        </w:rPr>
        <w:t xml:space="preserve"> </w:t>
      </w:r>
      <w:r>
        <w:rPr>
          <w:rFonts w:hint="eastAsia" w:ascii="宋体" w:hAnsi="宋体"/>
          <w:bCs/>
          <w:sz w:val="24"/>
          <w:u w:val="single"/>
        </w:rPr>
        <w:t xml:space="preserve">泉州师范学院图书馆办公家具采购项目 </w:t>
      </w:r>
      <w:r>
        <w:rPr>
          <w:rFonts w:hint="eastAsia" w:ascii="宋体" w:hAnsi="宋体"/>
          <w:b/>
          <w:sz w:val="36"/>
          <w:szCs w:val="36"/>
          <w:u w:val="single"/>
        </w:rPr>
        <w:t xml:space="preserve">  </w:t>
      </w:r>
    </w:p>
    <w:p w14:paraId="42BD20ED">
      <w:pPr>
        <w:rPr>
          <w:rFonts w:ascii="宋体" w:hAnsi="宋体"/>
          <w:sz w:val="24"/>
        </w:rPr>
      </w:pPr>
    </w:p>
    <w:p w14:paraId="53C94519">
      <w:pPr>
        <w:rPr>
          <w:rFonts w:ascii="宋体" w:hAnsi="宋体"/>
        </w:rPr>
      </w:pPr>
    </w:p>
    <w:p w14:paraId="08297ACB">
      <w:pPr>
        <w:rPr>
          <w:rFonts w:ascii="宋体" w:hAnsi="宋体"/>
        </w:rPr>
      </w:pPr>
    </w:p>
    <w:p w14:paraId="1C80C86D">
      <w:pPr>
        <w:rPr>
          <w:rFonts w:ascii="宋体" w:hAnsi="宋体"/>
        </w:rPr>
      </w:pPr>
    </w:p>
    <w:p w14:paraId="29BC5601">
      <w:pPr>
        <w:ind w:firstLine="1792" w:firstLineChars="498"/>
        <w:rPr>
          <w:rFonts w:ascii="宋体" w:hAnsi="宋体"/>
          <w:sz w:val="36"/>
        </w:rPr>
      </w:pPr>
    </w:p>
    <w:p w14:paraId="19B65A90">
      <w:pPr>
        <w:pStyle w:val="16"/>
      </w:pPr>
    </w:p>
    <w:p w14:paraId="055D0858">
      <w:pPr>
        <w:rPr>
          <w:rFonts w:ascii="宋体" w:hAnsi="宋体"/>
          <w:b/>
          <w:sz w:val="36"/>
          <w:szCs w:val="36"/>
          <w:u w:val="single"/>
        </w:rPr>
      </w:pPr>
    </w:p>
    <w:p w14:paraId="7123D21F">
      <w:pPr>
        <w:jc w:val="center"/>
        <w:rPr>
          <w:rFonts w:ascii="宋体" w:hAnsi="宋体"/>
          <w:b/>
          <w:sz w:val="36"/>
          <w:szCs w:val="36"/>
        </w:rPr>
      </w:pPr>
      <w:r>
        <w:rPr>
          <w:rFonts w:hint="eastAsia" w:ascii="宋体" w:hAnsi="宋体"/>
          <w:b/>
          <w:sz w:val="36"/>
          <w:szCs w:val="36"/>
        </w:rPr>
        <w:t>泉州师范学院图书馆</w:t>
      </w:r>
    </w:p>
    <w:p w14:paraId="017761A9">
      <w:pPr>
        <w:spacing w:beforeLines="100" w:afterLines="100" w:line="360" w:lineRule="exact"/>
        <w:jc w:val="center"/>
        <w:rPr>
          <w:rFonts w:ascii="宋体" w:hAnsi="宋体"/>
          <w:b/>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851" w:left="1247" w:header="567" w:footer="567" w:gutter="0"/>
          <w:pgNumType w:start="1"/>
          <w:cols w:space="720" w:num="1"/>
          <w:titlePg/>
          <w:docGrid w:type="lines" w:linePitch="312" w:charSpace="0"/>
        </w:sectPr>
      </w:pPr>
      <w:r>
        <w:rPr>
          <w:rFonts w:hint="eastAsia" w:ascii="宋体" w:hAnsi="宋体"/>
          <w:b/>
          <w:sz w:val="36"/>
          <w:szCs w:val="36"/>
        </w:rPr>
        <w:t>2022年12月</w:t>
      </w:r>
    </w:p>
    <w:p w14:paraId="6218F7DA">
      <w:pPr>
        <w:pStyle w:val="2"/>
        <w:rPr>
          <w:color w:val="auto"/>
        </w:rPr>
      </w:pPr>
    </w:p>
    <w:p w14:paraId="02CFE75D">
      <w:pPr>
        <w:spacing w:beforeLines="100" w:afterLines="100" w:line="360" w:lineRule="exact"/>
        <w:jc w:val="center"/>
        <w:rPr>
          <w:rFonts w:ascii="宋体" w:hAnsi="宋体"/>
          <w:b/>
          <w:sz w:val="36"/>
          <w:szCs w:val="36"/>
        </w:rPr>
      </w:pPr>
      <w:r>
        <w:rPr>
          <w:rFonts w:hint="eastAsia" w:ascii="宋体" w:hAnsi="宋体"/>
          <w:b/>
          <w:spacing w:val="400"/>
          <w:sz w:val="36"/>
          <w:szCs w:val="36"/>
        </w:rPr>
        <w:t>目</w:t>
      </w:r>
      <w:r>
        <w:rPr>
          <w:rFonts w:hint="eastAsia" w:ascii="宋体" w:hAnsi="宋体"/>
          <w:b/>
          <w:sz w:val="36"/>
          <w:szCs w:val="36"/>
        </w:rPr>
        <w:t>录</w:t>
      </w:r>
    </w:p>
    <w:sdt>
      <w:sdtPr>
        <w:rPr>
          <w:rFonts w:ascii="宋体" w:hAnsi="宋体"/>
          <w:b/>
          <w:bCs/>
          <w:caps/>
          <w:sz w:val="20"/>
          <w:szCs w:val="20"/>
        </w:rPr>
        <w:id w:val="147453954"/>
      </w:sdtPr>
      <w:sdtEndPr>
        <w:rPr>
          <w:rFonts w:hint="eastAsia" w:ascii="宋体" w:hAnsi="宋体" w:cs="宋体"/>
          <w:b/>
          <w:bCs/>
          <w:caps/>
          <w:sz w:val="20"/>
          <w:szCs w:val="20"/>
        </w:rPr>
      </w:sdtEndPr>
      <w:sdtContent>
        <w:p w14:paraId="03ABC4D1">
          <w:pPr>
            <w:jc w:val="center"/>
          </w:pPr>
        </w:p>
        <w:p w14:paraId="07B16562">
          <w:pPr>
            <w:pStyle w:val="13"/>
            <w:tabs>
              <w:tab w:val="right" w:leader="dot" w:pos="9525"/>
              <w:tab w:val="clear" w:pos="9515"/>
            </w:tabs>
            <w:spacing w:before="0" w:after="0" w:line="400" w:lineRule="exact"/>
            <w:ind w:firstLine="431"/>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"1-2" \h \u </w:instrText>
          </w:r>
          <w:r>
            <w:rPr>
              <w:rFonts w:hint="eastAsia" w:ascii="宋体" w:hAnsi="宋体" w:cs="宋体"/>
              <w:sz w:val="24"/>
              <w:szCs w:val="24"/>
            </w:rPr>
            <w:fldChar w:fldCharType="separate"/>
          </w:r>
          <w:r>
            <w:fldChar w:fldCharType="begin"/>
          </w:r>
          <w:r>
            <w:instrText xml:space="preserve"> HYPERLINK \l "_Toc18223" </w:instrText>
          </w:r>
          <w:r>
            <w:fldChar w:fldCharType="separate"/>
          </w:r>
          <w:r>
            <w:rPr>
              <w:rFonts w:hint="eastAsia" w:ascii="宋体" w:hAnsi="宋体" w:cs="宋体"/>
              <w:sz w:val="24"/>
              <w:szCs w:val="24"/>
            </w:rPr>
            <w:t>第一部分    询价邀请</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_Toc18223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14:paraId="2269BEAD">
          <w:pPr>
            <w:pStyle w:val="13"/>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"_Toc13469" </w:instrText>
          </w:r>
          <w:r>
            <w:fldChar w:fldCharType="separate"/>
          </w:r>
          <w:r>
            <w:rPr>
              <w:rFonts w:hint="eastAsia" w:ascii="宋体" w:hAnsi="宋体" w:cs="宋体"/>
              <w:sz w:val="24"/>
              <w:szCs w:val="24"/>
            </w:rPr>
            <w:t>询价标的一览表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_Toc13469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7237B4FF">
          <w:pPr>
            <w:pStyle w:val="13"/>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"_Toc7302" </w:instrText>
          </w:r>
          <w:r>
            <w:fldChar w:fldCharType="separate"/>
          </w:r>
          <w:r>
            <w:rPr>
              <w:rFonts w:hint="eastAsia" w:ascii="宋体" w:hAnsi="宋体" w:cs="宋体"/>
              <w:sz w:val="24"/>
              <w:szCs w:val="24"/>
            </w:rPr>
            <w:t>第二部分  报价供应商须知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_Toc7302 \h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14:paraId="2713EB88">
          <w:pPr>
            <w:pStyle w:val="13"/>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"_Toc5918" </w:instrText>
          </w:r>
          <w:r>
            <w:fldChar w:fldCharType="separate"/>
          </w:r>
          <w:r>
            <w:rPr>
              <w:rFonts w:hint="eastAsia" w:ascii="宋体" w:hAnsi="宋体" w:cs="宋体"/>
              <w:sz w:val="24"/>
              <w:szCs w:val="24"/>
            </w:rPr>
            <w:t>第三部分    询价内容及要求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_Toc5918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3CDE1CEF">
          <w:pPr>
            <w:pStyle w:val="13"/>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"_Toc29063" </w:instrText>
          </w:r>
          <w:r>
            <w:fldChar w:fldCharType="separate"/>
          </w:r>
          <w:r>
            <w:rPr>
              <w:rFonts w:hint="eastAsia" w:ascii="宋体" w:hAnsi="宋体" w:cs="宋体"/>
              <w:sz w:val="24"/>
              <w:szCs w:val="24"/>
            </w:rPr>
            <w:t>第四部分    报价文件格式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_Toc29063 \h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14:paraId="3E024743">
          <w:pPr>
            <w:pStyle w:val="13"/>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"_Toc1376" </w:instrText>
          </w:r>
          <w:r>
            <w:fldChar w:fldCharType="separate"/>
          </w:r>
          <w:r>
            <w:rPr>
              <w:rFonts w:hint="eastAsia" w:ascii="宋体" w:hAnsi="宋体" w:cs="宋体"/>
              <w:sz w:val="24"/>
              <w:szCs w:val="24"/>
            </w:rPr>
            <w:t>格式1                       报   价  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_Toc1376 \h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14:paraId="75107220">
          <w:pPr>
            <w:pStyle w:val="13"/>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"_Toc13976" </w:instrText>
          </w:r>
          <w:r>
            <w:fldChar w:fldCharType="separate"/>
          </w:r>
          <w:r>
            <w:rPr>
              <w:rFonts w:hint="eastAsia" w:ascii="宋体" w:hAnsi="宋体" w:cs="宋体"/>
              <w:sz w:val="24"/>
              <w:szCs w:val="24"/>
            </w:rPr>
            <w:t>格式2                       报价一览表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_Toc13976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07C84B12">
          <w:pPr>
            <w:pStyle w:val="13"/>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"_Toc12436" </w:instrText>
          </w:r>
          <w:r>
            <w:fldChar w:fldCharType="separate"/>
          </w:r>
          <w:r>
            <w:rPr>
              <w:rFonts w:hint="eastAsia" w:ascii="宋体" w:hAnsi="宋体" w:cs="宋体"/>
              <w:sz w:val="24"/>
              <w:szCs w:val="24"/>
            </w:rPr>
            <w:t>格式3                          分项报价明细表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_Toc12436 \h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fldChar w:fldCharType="end"/>
          </w:r>
        </w:p>
        <w:p w14:paraId="647EC81D">
          <w:pPr>
            <w:pStyle w:val="13"/>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"_Toc24037" </w:instrText>
          </w:r>
          <w:r>
            <w:fldChar w:fldCharType="separate"/>
          </w:r>
          <w:r>
            <w:rPr>
              <w:rFonts w:hint="eastAsia" w:ascii="宋体" w:hAnsi="宋体" w:cs="宋体"/>
              <w:sz w:val="24"/>
              <w:szCs w:val="24"/>
            </w:rPr>
            <w:t>格式4                           资格声明函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_Toc24037 \h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14:paraId="19AC13B4">
          <w:pPr>
            <w:pStyle w:val="13"/>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"_Toc30609" </w:instrText>
          </w:r>
          <w:r>
            <w:fldChar w:fldCharType="separate"/>
          </w:r>
          <w:r>
            <w:rPr>
              <w:rFonts w:hint="eastAsia" w:ascii="宋体" w:hAnsi="宋体" w:cs="宋体"/>
              <w:sz w:val="24"/>
              <w:szCs w:val="24"/>
            </w:rPr>
            <w:t>格式5                  法定代表人授权书(原件)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_Toc30609 \h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14:paraId="30A54FCE">
          <w:pPr>
            <w:pStyle w:val="13"/>
            <w:spacing w:before="0" w:after="0" w:line="400" w:lineRule="exact"/>
            <w:ind w:firstLine="431"/>
            <w:rPr>
              <w:rFonts w:ascii="宋体" w:hAnsi="宋体" w:cs="宋体"/>
              <w:sz w:val="24"/>
              <w:szCs w:val="24"/>
            </w:rPr>
          </w:pPr>
          <w:r>
            <w:rPr>
              <w:rFonts w:hint="eastAsia" w:ascii="宋体" w:hAnsi="宋体" w:cs="宋体"/>
              <w:sz w:val="24"/>
              <w:szCs w:val="24"/>
            </w:rPr>
            <w:fldChar w:fldCharType="end"/>
          </w:r>
        </w:p>
      </w:sdtContent>
    </w:sdt>
    <w:p w14:paraId="2AD8BA16">
      <w:pPr>
        <w:spacing w:line="440" w:lineRule="exact"/>
        <w:rPr>
          <w:rFonts w:ascii="宋体" w:hAnsi="宋体" w:cs="宋体"/>
          <w:sz w:val="28"/>
          <w:szCs w:val="28"/>
        </w:rPr>
      </w:pPr>
    </w:p>
    <w:p w14:paraId="33A7A9F0"/>
    <w:p w14:paraId="1BD344FA"/>
    <w:p w14:paraId="60E40C8A"/>
    <w:p w14:paraId="0A0AFC03"/>
    <w:p w14:paraId="3DF3A6C6"/>
    <w:p w14:paraId="082AF0B7"/>
    <w:p w14:paraId="1652DB5B"/>
    <w:p w14:paraId="0D0F31E5"/>
    <w:p w14:paraId="40D6A73D">
      <w:pPr>
        <w:pStyle w:val="16"/>
      </w:pPr>
    </w:p>
    <w:p w14:paraId="299155D8"/>
    <w:p w14:paraId="78AF4CB9">
      <w:pPr>
        <w:pStyle w:val="16"/>
      </w:pPr>
    </w:p>
    <w:p w14:paraId="72EC351E"/>
    <w:p w14:paraId="576D1C89">
      <w:pPr>
        <w:pStyle w:val="2"/>
        <w:rPr>
          <w:color w:val="auto"/>
        </w:rPr>
      </w:pPr>
    </w:p>
    <w:p w14:paraId="249705D1">
      <w:pPr>
        <w:pStyle w:val="2"/>
        <w:rPr>
          <w:color w:val="auto"/>
        </w:rPr>
      </w:pPr>
    </w:p>
    <w:p w14:paraId="0E8C2736">
      <w:pPr>
        <w:pStyle w:val="2"/>
        <w:rPr>
          <w:color w:val="auto"/>
        </w:rPr>
      </w:pPr>
    </w:p>
    <w:p w14:paraId="4B500A8D">
      <w:pPr>
        <w:pStyle w:val="2"/>
        <w:rPr>
          <w:color w:val="auto"/>
        </w:rPr>
      </w:pPr>
    </w:p>
    <w:p w14:paraId="33B32CC3">
      <w:pPr>
        <w:pStyle w:val="2"/>
        <w:rPr>
          <w:color w:val="auto"/>
        </w:rPr>
      </w:pPr>
    </w:p>
    <w:p w14:paraId="1214A33D">
      <w:pPr>
        <w:pStyle w:val="2"/>
        <w:rPr>
          <w:color w:val="auto"/>
        </w:rPr>
      </w:pPr>
    </w:p>
    <w:p w14:paraId="1F84B064">
      <w:pPr>
        <w:pStyle w:val="2"/>
        <w:rPr>
          <w:color w:val="auto"/>
        </w:rPr>
      </w:pPr>
    </w:p>
    <w:p w14:paraId="5033E72A">
      <w:pPr>
        <w:pStyle w:val="3"/>
        <w:spacing w:before="0" w:after="0" w:line="360" w:lineRule="auto"/>
        <w:jc w:val="center"/>
        <w:rPr>
          <w:rFonts w:ascii="宋体" w:hAnsi="宋体" w:eastAsia="宋体"/>
          <w:sz w:val="36"/>
          <w:szCs w:val="36"/>
        </w:rPr>
      </w:pPr>
      <w:bookmarkStart w:id="0" w:name="_Toc10914"/>
      <w:bookmarkStart w:id="1" w:name="_Toc9763"/>
      <w:bookmarkStart w:id="2" w:name="_Toc26208"/>
      <w:bookmarkStart w:id="3" w:name="_Toc18223"/>
      <w:bookmarkStart w:id="4" w:name="_Toc134733479"/>
      <w:r>
        <w:rPr>
          <w:rFonts w:hint="eastAsia" w:ascii="宋体" w:hAnsi="宋体" w:eastAsia="宋体"/>
          <w:sz w:val="36"/>
          <w:szCs w:val="36"/>
        </w:rPr>
        <w:t>第一部分    询价邀请</w:t>
      </w:r>
      <w:bookmarkEnd w:id="0"/>
      <w:bookmarkEnd w:id="1"/>
      <w:bookmarkEnd w:id="2"/>
      <w:bookmarkEnd w:id="3"/>
      <w:bookmarkEnd w:id="4"/>
    </w:p>
    <w:p w14:paraId="4F0E4B0B">
      <w:pPr>
        <w:pStyle w:val="16"/>
        <w:spacing w:line="400" w:lineRule="exact"/>
        <w:ind w:firstLine="480" w:firstLineChars="200"/>
        <w:jc w:val="left"/>
        <w:rPr>
          <w:i w:val="0"/>
          <w:iCs w:val="0"/>
          <w:sz w:val="24"/>
          <w:szCs w:val="24"/>
        </w:rPr>
      </w:pPr>
      <w:bookmarkStart w:id="5" w:name="_Toc34745149"/>
      <w:bookmarkStart w:id="6" w:name="_Toc36123671"/>
      <w:bookmarkStart w:id="7" w:name="_Toc98672988"/>
      <w:bookmarkStart w:id="8" w:name="_Toc93397984"/>
      <w:bookmarkStart w:id="9" w:name="_Toc33953164"/>
      <w:bookmarkStart w:id="10" w:name="_Toc34703823"/>
      <w:bookmarkStart w:id="11" w:name="_Toc108260365"/>
      <w:bookmarkStart w:id="12" w:name="_Toc53335577"/>
      <w:bookmarkStart w:id="13" w:name="_Toc98731630"/>
      <w:bookmarkStart w:id="14" w:name="_Toc34789935"/>
      <w:bookmarkStart w:id="15" w:name="_Toc35599967"/>
      <w:bookmarkStart w:id="16" w:name="_Toc3785637"/>
      <w:bookmarkStart w:id="17" w:name="_Toc35622007"/>
      <w:bookmarkStart w:id="18" w:name="_Toc53570175"/>
      <w:bookmarkStart w:id="19" w:name="_Toc108257116"/>
      <w:bookmarkStart w:id="20" w:name="_Toc93397582"/>
      <w:bookmarkStart w:id="21" w:name="_Toc105389203"/>
      <w:bookmarkStart w:id="22" w:name="_Toc3785513"/>
      <w:bookmarkStart w:id="23" w:name="_Toc108257466"/>
      <w:bookmarkStart w:id="24" w:name="_Toc40761347"/>
      <w:bookmarkStart w:id="25" w:name="_Toc87857945"/>
      <w:bookmarkStart w:id="26" w:name="_Toc35222536"/>
      <w:bookmarkStart w:id="27" w:name="_Toc108257590"/>
      <w:bookmarkStart w:id="28" w:name="_Toc35071897"/>
      <w:bookmarkStart w:id="29" w:name="_Toc34664278"/>
      <w:bookmarkStart w:id="30" w:name="_Toc35742634"/>
      <w:bookmarkStart w:id="31" w:name="_Toc108257397"/>
      <w:bookmarkStart w:id="32" w:name="_Toc33775520"/>
      <w:bookmarkStart w:id="33" w:name="_Toc36146204"/>
      <w:bookmarkStart w:id="34" w:name="_Toc35107772"/>
      <w:bookmarkStart w:id="35" w:name="_Toc54513051"/>
      <w:bookmarkStart w:id="36" w:name="_Toc3785461"/>
      <w:bookmarkStart w:id="37" w:name="_Toc35068743"/>
      <w:bookmarkStart w:id="38" w:name="_Toc60130052"/>
      <w:bookmarkStart w:id="39" w:name="_Toc35941127"/>
      <w:bookmarkStart w:id="40" w:name="_Toc3785675"/>
      <w:bookmarkStart w:id="41" w:name="_Toc425276503"/>
      <w:r>
        <w:rPr>
          <w:rFonts w:hint="eastAsia" w:ascii="宋体" w:hAnsi="宋体"/>
          <w:i w:val="0"/>
          <w:iCs w:val="0"/>
          <w:sz w:val="24"/>
          <w:szCs w:val="24"/>
          <w:u w:val="single"/>
        </w:rPr>
        <w:t xml:space="preserve"> 泉州师范学院图书馆 </w:t>
      </w:r>
      <w:r>
        <w:rPr>
          <w:rFonts w:hint="eastAsia" w:ascii="宋体" w:hAnsi="宋体"/>
          <w:i w:val="0"/>
          <w:iCs w:val="0"/>
          <w:spacing w:val="-6"/>
          <w:sz w:val="24"/>
          <w:szCs w:val="24"/>
        </w:rPr>
        <w:t>以</w:t>
      </w:r>
      <w:r>
        <w:rPr>
          <w:rFonts w:hint="eastAsia" w:ascii="宋体" w:hAnsi="宋体"/>
          <w:i w:val="0"/>
          <w:iCs w:val="0"/>
          <w:spacing w:val="-6"/>
          <w:sz w:val="24"/>
          <w:szCs w:val="24"/>
          <w:u w:val="single"/>
        </w:rPr>
        <w:t xml:space="preserve">  </w:t>
      </w:r>
      <w:r>
        <w:rPr>
          <w:rFonts w:hint="eastAsia" w:ascii="宋体" w:hAnsi="宋体"/>
          <w:b/>
          <w:bCs/>
          <w:i w:val="0"/>
          <w:iCs w:val="0"/>
          <w:spacing w:val="-6"/>
          <w:sz w:val="24"/>
          <w:szCs w:val="24"/>
          <w:u w:val="single"/>
        </w:rPr>
        <w:t xml:space="preserve">询价  </w:t>
      </w:r>
      <w:r>
        <w:rPr>
          <w:rFonts w:hint="eastAsia" w:ascii="宋体" w:hAnsi="宋体"/>
          <w:bCs/>
          <w:i w:val="0"/>
          <w:iCs w:val="0"/>
          <w:spacing w:val="-6"/>
          <w:sz w:val="24"/>
          <w:szCs w:val="24"/>
        </w:rPr>
        <w:t>的</w:t>
      </w:r>
      <w:r>
        <w:rPr>
          <w:rFonts w:hint="eastAsia" w:ascii="宋体" w:hAnsi="宋体"/>
          <w:i w:val="0"/>
          <w:iCs w:val="0"/>
          <w:spacing w:val="-6"/>
          <w:sz w:val="24"/>
          <w:szCs w:val="24"/>
        </w:rPr>
        <w:t>方式对以下项目进行采购，欢迎合格的受邀供应商参加报价。</w:t>
      </w:r>
    </w:p>
    <w:p w14:paraId="50DA9AA3">
      <w:pPr>
        <w:spacing w:line="400" w:lineRule="exact"/>
        <w:ind w:firstLine="480" w:firstLineChars="200"/>
        <w:rPr>
          <w:rFonts w:ascii="宋体" w:hAnsi="宋体"/>
          <w:sz w:val="24"/>
        </w:rPr>
      </w:pPr>
      <w:r>
        <w:rPr>
          <w:rFonts w:hint="eastAsia" w:ascii="宋体" w:hAnsi="宋体"/>
          <w:sz w:val="24"/>
        </w:rPr>
        <w:t>一、项目基本情况</w:t>
      </w:r>
    </w:p>
    <w:p w14:paraId="6C468BF4">
      <w:pPr>
        <w:spacing w:line="360" w:lineRule="auto"/>
        <w:ind w:firstLine="480" w:firstLineChars="200"/>
        <w:rPr>
          <w:rFonts w:ascii="宋体" w:hAnsi="宋体"/>
          <w:bCs/>
          <w:sz w:val="24"/>
          <w:u w:val="single"/>
        </w:rPr>
      </w:pPr>
      <w:r>
        <w:rPr>
          <w:rFonts w:hint="eastAsia" w:ascii="宋体" w:hAnsi="宋体"/>
          <w:sz w:val="24"/>
        </w:rPr>
        <w:t>采购编号：</w:t>
      </w:r>
      <w:r>
        <w:rPr>
          <w:rFonts w:hint="eastAsia" w:ascii="宋体" w:hAnsi="宋体"/>
          <w:bCs/>
          <w:sz w:val="24"/>
          <w:u w:val="single"/>
        </w:rPr>
        <w:t xml:space="preserve">            QZSFXYTSG2022002             </w:t>
      </w:r>
    </w:p>
    <w:p w14:paraId="62377E92">
      <w:pPr>
        <w:spacing w:line="360" w:lineRule="auto"/>
        <w:ind w:firstLine="480" w:firstLineChars="200"/>
        <w:rPr>
          <w:rFonts w:ascii="宋体" w:hAnsi="宋体"/>
          <w:sz w:val="24"/>
          <w:u w:val="single"/>
        </w:rPr>
      </w:pPr>
      <w:r>
        <w:rPr>
          <w:rFonts w:hint="eastAsia" w:ascii="宋体" w:hAnsi="宋体"/>
          <w:sz w:val="24"/>
        </w:rPr>
        <w:t>项目名称：</w:t>
      </w:r>
      <w:r>
        <w:rPr>
          <w:rFonts w:hint="eastAsia" w:ascii="宋体" w:hAnsi="宋体"/>
          <w:bCs/>
          <w:sz w:val="24"/>
          <w:u w:val="single"/>
        </w:rPr>
        <w:t xml:space="preserve"> 泉州师范学院图书馆办公家具采购项目</w:t>
      </w:r>
      <w:r>
        <w:rPr>
          <w:rFonts w:hint="eastAsia" w:ascii="宋体" w:hAnsi="宋体"/>
          <w:sz w:val="24"/>
          <w:u w:val="single"/>
        </w:rPr>
        <w:t xml:space="preserve"> </w:t>
      </w:r>
    </w:p>
    <w:p w14:paraId="1EBB9EFB">
      <w:pPr>
        <w:pStyle w:val="2"/>
        <w:spacing w:line="360" w:lineRule="auto"/>
        <w:ind w:firstLine="480" w:firstLineChars="200"/>
        <w:rPr>
          <w:rFonts w:ascii="宋体" w:hAnsi="宋体" w:eastAsia="宋体" w:cs="Times New Roman"/>
          <w:color w:val="auto"/>
          <w:kern w:val="2"/>
          <w:u w:val="single"/>
        </w:rPr>
      </w:pPr>
      <w:r>
        <w:rPr>
          <w:rFonts w:hint="eastAsia" w:ascii="宋体" w:hAnsi="宋体" w:eastAsia="宋体" w:cs="Times New Roman"/>
          <w:color w:val="auto"/>
          <w:kern w:val="2"/>
        </w:rPr>
        <w:t>预算金额：</w:t>
      </w:r>
      <w:r>
        <w:rPr>
          <w:rFonts w:hint="eastAsia" w:ascii="宋体" w:hAnsi="宋体" w:eastAsia="宋体" w:cs="Times New Roman"/>
          <w:color w:val="auto"/>
          <w:kern w:val="2"/>
          <w:u w:val="single"/>
        </w:rPr>
        <w:t xml:space="preserve">             84980.00元                  </w:t>
      </w:r>
    </w:p>
    <w:p w14:paraId="67214DE2">
      <w:pPr>
        <w:spacing w:afterLines="50" w:line="440" w:lineRule="exact"/>
        <w:ind w:firstLine="480" w:firstLineChars="200"/>
        <w:outlineLvl w:val="0"/>
        <w:rPr>
          <w:rFonts w:ascii="宋体" w:hAnsi="宋体"/>
          <w:sz w:val="24"/>
        </w:rPr>
      </w:pPr>
      <w:bookmarkStart w:id="42" w:name="_Toc491700004"/>
      <w:bookmarkStart w:id="43" w:name="_Toc13469"/>
      <w:bookmarkStart w:id="44" w:name="_Toc26626"/>
      <w:r>
        <w:rPr>
          <w:rFonts w:hint="eastAsia" w:ascii="宋体" w:hAnsi="宋体"/>
          <w:sz w:val="24"/>
        </w:rPr>
        <w:t>采购需求</w:t>
      </w:r>
      <w:bookmarkEnd w:id="42"/>
      <w:bookmarkEnd w:id="43"/>
      <w:bookmarkEnd w:id="44"/>
      <w:r>
        <w:rPr>
          <w:rFonts w:hint="eastAsia" w:ascii="宋体" w:hAnsi="宋体"/>
          <w:sz w:val="24"/>
        </w:rPr>
        <w:t>：</w:t>
      </w:r>
    </w:p>
    <w:tbl>
      <w:tblPr>
        <w:tblStyle w:val="20"/>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14:paraId="4404D834">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5FAFBD3">
            <w:pPr>
              <w:pStyle w:val="15"/>
              <w:widowControl/>
              <w:jc w:val="center"/>
              <w:rPr>
                <w:rFonts w:ascii="宋体" w:hAnsi="宋体"/>
                <w:b/>
                <w:bCs/>
              </w:rPr>
            </w:pPr>
            <w:r>
              <w:rPr>
                <w:rFonts w:hint="eastAsia" w:ascii="宋体" w:hAnsi="宋体"/>
                <w:b/>
                <w:bCs/>
              </w:rPr>
              <w:t>合同包</w:t>
            </w:r>
          </w:p>
        </w:tc>
        <w:tc>
          <w:tcPr>
            <w:tcW w:w="33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FE3DA98">
            <w:pPr>
              <w:pStyle w:val="15"/>
              <w:widowControl/>
              <w:jc w:val="center"/>
              <w:rPr>
                <w:rFonts w:ascii="宋体" w:hAnsi="宋体"/>
                <w:b/>
                <w:bCs/>
              </w:rPr>
            </w:pPr>
            <w:r>
              <w:rPr>
                <w:rFonts w:hint="eastAsia" w:ascii="宋体" w:hAnsi="宋体"/>
                <w:b/>
                <w:bCs/>
              </w:rPr>
              <w:t>项目名称</w:t>
            </w:r>
          </w:p>
        </w:tc>
        <w:tc>
          <w:tcPr>
            <w:tcW w:w="15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B688A10">
            <w:pPr>
              <w:pStyle w:val="15"/>
              <w:widowControl/>
              <w:jc w:val="center"/>
              <w:rPr>
                <w:rFonts w:ascii="宋体" w:hAnsi="宋体"/>
                <w:b/>
                <w:bCs/>
              </w:rPr>
            </w:pPr>
            <w:r>
              <w:rPr>
                <w:rFonts w:hint="eastAsia" w:ascii="宋体" w:hAnsi="宋体"/>
                <w:b/>
                <w:bCs/>
              </w:rPr>
              <w:t>数量/单位</w:t>
            </w:r>
          </w:p>
        </w:tc>
        <w:tc>
          <w:tcPr>
            <w:tcW w:w="19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E846CF3">
            <w:pPr>
              <w:pStyle w:val="15"/>
              <w:widowControl/>
              <w:jc w:val="center"/>
              <w:rPr>
                <w:rFonts w:ascii="宋体" w:hAnsi="宋体"/>
                <w:b/>
                <w:bCs/>
              </w:rPr>
            </w:pPr>
            <w:r>
              <w:rPr>
                <w:rFonts w:hint="eastAsia" w:ascii="宋体" w:hAnsi="宋体"/>
                <w:b/>
                <w:bCs/>
              </w:rPr>
              <w:t>预算价（元）</w:t>
            </w:r>
          </w:p>
        </w:tc>
        <w:tc>
          <w:tcPr>
            <w:tcW w:w="204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B329304">
            <w:pPr>
              <w:pStyle w:val="15"/>
              <w:widowControl/>
              <w:jc w:val="center"/>
              <w:rPr>
                <w:rFonts w:ascii="宋体" w:hAnsi="宋体"/>
                <w:b/>
                <w:bCs/>
              </w:rPr>
            </w:pPr>
            <w:r>
              <w:rPr>
                <w:rFonts w:hint="eastAsia" w:ascii="宋体" w:hAnsi="宋体"/>
                <w:b/>
                <w:bCs/>
              </w:rPr>
              <w:t>询价内容及要求</w:t>
            </w:r>
          </w:p>
        </w:tc>
      </w:tr>
      <w:tr w14:paraId="577AB9AD">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03804F3">
            <w:pPr>
              <w:pStyle w:val="15"/>
              <w:widowControl/>
              <w:jc w:val="center"/>
              <w:rPr>
                <w:rFonts w:ascii="宋体" w:hAnsi="宋体"/>
              </w:rPr>
            </w:pPr>
            <w:r>
              <w:rPr>
                <w:rFonts w:hint="eastAsia" w:ascii="宋体" w:hAnsi="宋体"/>
              </w:rPr>
              <w:t>一</w:t>
            </w:r>
          </w:p>
        </w:tc>
        <w:tc>
          <w:tcPr>
            <w:tcW w:w="33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CA3504B">
            <w:pPr>
              <w:pStyle w:val="15"/>
              <w:widowControl/>
              <w:jc w:val="center"/>
              <w:rPr>
                <w:rFonts w:ascii="宋体" w:hAnsi="宋体"/>
              </w:rPr>
            </w:pPr>
            <w:r>
              <w:rPr>
                <w:rFonts w:hint="eastAsia" w:ascii="宋体" w:hAnsi="宋体"/>
              </w:rPr>
              <w:t>泉州师范学院图书馆办公家具采购项目</w:t>
            </w:r>
          </w:p>
        </w:tc>
        <w:tc>
          <w:tcPr>
            <w:tcW w:w="1554" w:type="dxa"/>
            <w:tcBorders>
              <w:top w:val="nil"/>
              <w:left w:val="nil"/>
              <w:bottom w:val="single" w:color="auto" w:sz="8" w:space="0"/>
              <w:right w:val="single" w:color="auto" w:sz="8" w:space="0"/>
            </w:tcBorders>
            <w:tcMar>
              <w:top w:w="0" w:type="dxa"/>
              <w:left w:w="108" w:type="dxa"/>
              <w:bottom w:w="0" w:type="dxa"/>
              <w:right w:w="108" w:type="dxa"/>
            </w:tcMar>
            <w:vAlign w:val="center"/>
          </w:tcPr>
          <w:p w14:paraId="41CC4472">
            <w:pPr>
              <w:pStyle w:val="15"/>
              <w:widowControl/>
              <w:jc w:val="center"/>
              <w:rPr>
                <w:rFonts w:ascii="宋体" w:hAnsi="宋体"/>
              </w:rPr>
            </w:pPr>
            <w:r>
              <w:rPr>
                <w:rFonts w:hint="eastAsia" w:ascii="宋体" w:hAnsi="宋体"/>
              </w:rPr>
              <w:t>批</w:t>
            </w:r>
          </w:p>
        </w:tc>
        <w:tc>
          <w:tcPr>
            <w:tcW w:w="1963" w:type="dxa"/>
            <w:tcBorders>
              <w:top w:val="nil"/>
              <w:left w:val="nil"/>
              <w:bottom w:val="single" w:color="auto" w:sz="8" w:space="0"/>
              <w:right w:val="single" w:color="auto" w:sz="8" w:space="0"/>
            </w:tcBorders>
            <w:tcMar>
              <w:top w:w="0" w:type="dxa"/>
              <w:left w:w="108" w:type="dxa"/>
              <w:bottom w:w="0" w:type="dxa"/>
              <w:right w:w="108" w:type="dxa"/>
            </w:tcMar>
            <w:vAlign w:val="center"/>
          </w:tcPr>
          <w:p w14:paraId="2145EBFE">
            <w:pPr>
              <w:pStyle w:val="15"/>
              <w:widowControl/>
              <w:jc w:val="center"/>
              <w:rPr>
                <w:rFonts w:ascii="宋体" w:hAnsi="宋体"/>
              </w:rPr>
            </w:pPr>
            <w:r>
              <w:rPr>
                <w:rFonts w:hint="eastAsia" w:ascii="宋体" w:hAnsi="宋体"/>
              </w:rPr>
              <w:t>84980</w:t>
            </w:r>
            <w:r>
              <w:rPr>
                <w:rFonts w:ascii="宋体" w:hAnsi="宋体"/>
              </w:rPr>
              <w:t>.00</w:t>
            </w:r>
          </w:p>
        </w:tc>
        <w:tc>
          <w:tcPr>
            <w:tcW w:w="2047" w:type="dxa"/>
            <w:tcBorders>
              <w:top w:val="nil"/>
              <w:left w:val="nil"/>
              <w:bottom w:val="single" w:color="auto" w:sz="8" w:space="0"/>
              <w:right w:val="single" w:color="auto" w:sz="8" w:space="0"/>
            </w:tcBorders>
            <w:tcMar>
              <w:top w:w="0" w:type="dxa"/>
              <w:left w:w="108" w:type="dxa"/>
              <w:bottom w:w="0" w:type="dxa"/>
              <w:right w:w="108" w:type="dxa"/>
            </w:tcMar>
            <w:vAlign w:val="center"/>
          </w:tcPr>
          <w:p w14:paraId="19E4BD78">
            <w:pPr>
              <w:pStyle w:val="15"/>
              <w:widowControl/>
              <w:jc w:val="center"/>
              <w:rPr>
                <w:rFonts w:ascii="宋体" w:hAnsi="宋体"/>
              </w:rPr>
            </w:pPr>
            <w:r>
              <w:rPr>
                <w:rFonts w:hint="eastAsia" w:ascii="宋体" w:hAnsi="宋体"/>
              </w:rPr>
              <w:t>详见询价文件第三部分要求</w:t>
            </w:r>
          </w:p>
        </w:tc>
      </w:tr>
    </w:tbl>
    <w:p w14:paraId="6678AAE6">
      <w:pPr>
        <w:spacing w:line="400" w:lineRule="exact"/>
        <w:ind w:firstLine="480" w:firstLineChars="200"/>
        <w:rPr>
          <w:rFonts w:ascii="宋体" w:hAnsi="宋体"/>
          <w:sz w:val="24"/>
          <w:u w:val="single"/>
        </w:rPr>
      </w:pPr>
      <w:r>
        <w:rPr>
          <w:rFonts w:hint="eastAsia" w:ascii="宋体" w:hAnsi="宋体"/>
          <w:sz w:val="24"/>
        </w:rPr>
        <w:t>注：本项目采购为一个完整合同包，报价供应商必须对该合同包内所有货物报价时必须完整。评标与授标以合同包为单位。成交供应商不得转包他人，若发现转包，采购人有权终止协议,并由成交供应商承担相关责任。</w:t>
      </w:r>
    </w:p>
    <w:p w14:paraId="2B0EF3CD">
      <w:pPr>
        <w:widowControl/>
        <w:spacing w:line="400" w:lineRule="exact"/>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二</w:t>
      </w:r>
      <w:r>
        <w:rPr>
          <w:rFonts w:hint="eastAsia" w:ascii="宋体" w:hAnsi="宋体" w:cs="宋体"/>
          <w:sz w:val="24"/>
        </w:rPr>
        <w:t>、</w:t>
      </w:r>
      <w:r>
        <w:rPr>
          <w:rFonts w:hint="eastAsia" w:ascii="宋体" w:hAnsi="宋体" w:cs="宋体"/>
          <w:kern w:val="0"/>
          <w:sz w:val="24"/>
          <w:shd w:val="clear" w:color="auto" w:fill="FFFFFF"/>
        </w:rPr>
        <w:t>报价供应商的资格要求:</w:t>
      </w:r>
    </w:p>
    <w:p w14:paraId="46DED301">
      <w:pPr>
        <w:spacing w:line="400" w:lineRule="exact"/>
        <w:ind w:firstLine="480" w:firstLineChars="200"/>
        <w:rPr>
          <w:rFonts w:ascii="宋体" w:hAnsi="宋体"/>
          <w:sz w:val="24"/>
        </w:rPr>
      </w:pPr>
      <w:r>
        <w:rPr>
          <w:rFonts w:hint="eastAsia" w:ascii="宋体" w:hAnsi="宋体" w:cs="宋体"/>
          <w:kern w:val="0"/>
          <w:sz w:val="24"/>
          <w:shd w:val="clear" w:color="auto" w:fill="FFFFFF"/>
        </w:rPr>
        <w:t>1、报价供应商</w:t>
      </w:r>
      <w:r>
        <w:rPr>
          <w:rFonts w:hint="eastAsia" w:ascii="宋体" w:hAnsi="宋体" w:cs="宋体"/>
          <w:sz w:val="24"/>
        </w:rPr>
        <w:t>须符合《中华人民共和国政府采购法》第二十二条规定条件且无行贿犯罪记录（须提供相关证明文件或书面声明）</w:t>
      </w:r>
      <w:r>
        <w:rPr>
          <w:rFonts w:hint="eastAsia" w:ascii="宋体" w:hAnsi="宋体"/>
          <w:sz w:val="24"/>
        </w:rPr>
        <w:t>；</w:t>
      </w:r>
    </w:p>
    <w:p w14:paraId="4C1F3BAA">
      <w:pPr>
        <w:widowControl/>
        <w:spacing w:line="400" w:lineRule="exact"/>
        <w:ind w:firstLine="480" w:firstLineChars="200"/>
        <w:rPr>
          <w:rFonts w:ascii="宋体" w:hAnsi="宋体" w:cs="宋体"/>
          <w:kern w:val="0"/>
          <w:sz w:val="24"/>
          <w:shd w:val="clear" w:color="auto" w:fill="FFFFFF"/>
        </w:rPr>
      </w:pPr>
      <w:r>
        <w:rPr>
          <w:rFonts w:hint="eastAsia" w:ascii="宋体" w:hAnsi="宋体" w:cs="宋体"/>
          <w:kern w:val="0"/>
          <w:sz w:val="24"/>
        </w:rPr>
        <w:t>2、</w:t>
      </w:r>
      <w:r>
        <w:rPr>
          <w:rFonts w:hint="eastAsia" w:ascii="宋体" w:hAnsi="宋体" w:cs="宋体"/>
          <w:kern w:val="0"/>
          <w:sz w:val="24"/>
          <w:shd w:val="clear" w:color="auto" w:fill="FFFFFF"/>
        </w:rPr>
        <w:t>本项目不接受联合体形式参与报价。</w:t>
      </w:r>
    </w:p>
    <w:p w14:paraId="012FCCAC">
      <w:pPr>
        <w:spacing w:line="360" w:lineRule="auto"/>
        <w:ind w:firstLine="480" w:firstLineChars="200"/>
        <w:rPr>
          <w:rFonts w:ascii="宋体" w:hAnsi="宋体"/>
          <w:sz w:val="24"/>
        </w:rPr>
      </w:pPr>
      <w:r>
        <w:rPr>
          <w:rFonts w:hint="eastAsia" w:ascii="宋体" w:hAnsi="宋体"/>
          <w:sz w:val="24"/>
        </w:rPr>
        <w:t>三、提交报价响应文件截止时间</w:t>
      </w:r>
      <w:r>
        <w:rPr>
          <w:rFonts w:hint="eastAsia" w:ascii="宋体" w:hAnsi="宋体"/>
          <w:sz w:val="24"/>
          <w:u w:val="single"/>
        </w:rPr>
        <w:t xml:space="preserve"> 2022 </w:t>
      </w:r>
      <w:r>
        <w:rPr>
          <w:rFonts w:hint="eastAsia" w:ascii="宋体" w:hAnsi="宋体"/>
          <w:sz w:val="24"/>
        </w:rPr>
        <w:t>年</w:t>
      </w:r>
      <w:r>
        <w:rPr>
          <w:rFonts w:hint="eastAsia" w:ascii="宋体" w:hAnsi="宋体"/>
          <w:sz w:val="24"/>
          <w:u w:val="single"/>
        </w:rPr>
        <w:t xml:space="preserve"> 12 </w:t>
      </w:r>
      <w:r>
        <w:rPr>
          <w:rFonts w:hint="eastAsia" w:ascii="宋体" w:hAnsi="宋体"/>
          <w:sz w:val="24"/>
        </w:rPr>
        <w:t>月</w:t>
      </w:r>
      <w:r>
        <w:rPr>
          <w:rFonts w:hint="eastAsia" w:ascii="宋体" w:hAnsi="宋体"/>
          <w:sz w:val="24"/>
          <w:u w:val="single"/>
        </w:rPr>
        <w:t xml:space="preserve">  15  </w:t>
      </w:r>
      <w:r>
        <w:rPr>
          <w:rFonts w:hint="eastAsia" w:ascii="宋体" w:hAnsi="宋体"/>
          <w:sz w:val="24"/>
        </w:rPr>
        <w:t>日</w:t>
      </w:r>
      <w:r>
        <w:rPr>
          <w:rFonts w:hint="eastAsia" w:ascii="宋体" w:hAnsi="宋体"/>
          <w:sz w:val="24"/>
          <w:u w:val="single"/>
        </w:rPr>
        <w:t xml:space="preserve">  10 </w:t>
      </w:r>
      <w:r>
        <w:rPr>
          <w:rFonts w:hint="eastAsia" w:ascii="宋体" w:hAnsi="宋体"/>
          <w:sz w:val="24"/>
        </w:rPr>
        <w:t>时</w:t>
      </w:r>
      <w:r>
        <w:rPr>
          <w:rFonts w:ascii="宋体" w:hAnsi="宋体"/>
          <w:sz w:val="24"/>
        </w:rPr>
        <w:t>(</w:t>
      </w:r>
      <w:r>
        <w:rPr>
          <w:rFonts w:hint="eastAsia" w:ascii="宋体" w:hAnsi="宋体"/>
          <w:sz w:val="24"/>
        </w:rPr>
        <w:t>北京时间</w:t>
      </w:r>
      <w:r>
        <w:rPr>
          <w:rFonts w:ascii="宋体" w:hAnsi="宋体"/>
          <w:sz w:val="24"/>
        </w:rPr>
        <w:t>)</w:t>
      </w:r>
      <w:r>
        <w:rPr>
          <w:rFonts w:hint="eastAsia" w:ascii="宋体" w:hAnsi="宋体"/>
          <w:sz w:val="24"/>
        </w:rPr>
        <w:t>。（从询价公告发布之日起至供应商提交响应文件截止之日止不得少于3个工作日）。</w:t>
      </w:r>
    </w:p>
    <w:p w14:paraId="5CBCA5EE">
      <w:pPr>
        <w:spacing w:line="360" w:lineRule="auto"/>
        <w:ind w:firstLine="480" w:firstLineChars="200"/>
        <w:rPr>
          <w:rFonts w:ascii="宋体" w:hAnsi="宋体"/>
          <w:sz w:val="24"/>
        </w:rPr>
      </w:pPr>
      <w:r>
        <w:rPr>
          <w:rFonts w:hint="eastAsia" w:ascii="宋体" w:hAnsi="宋体"/>
          <w:sz w:val="24"/>
        </w:rPr>
        <w:t>四、询价时间：</w:t>
      </w:r>
      <w:r>
        <w:rPr>
          <w:rFonts w:hint="eastAsia" w:ascii="宋体" w:hAnsi="宋体"/>
          <w:sz w:val="24"/>
          <w:u w:val="single"/>
        </w:rPr>
        <w:t xml:space="preserve">  2022年 12 月 15 日 10时(</w:t>
      </w:r>
      <w:r>
        <w:rPr>
          <w:rFonts w:hint="eastAsia" w:ascii="宋体" w:hAnsi="宋体"/>
          <w:sz w:val="24"/>
        </w:rPr>
        <w:t>北京时间)。</w:t>
      </w:r>
    </w:p>
    <w:p w14:paraId="015898A7">
      <w:pPr>
        <w:widowControl/>
        <w:spacing w:line="400" w:lineRule="exact"/>
        <w:ind w:firstLine="480" w:firstLineChars="200"/>
        <w:rPr>
          <w:rFonts w:ascii="宋体" w:hAnsi="宋体"/>
          <w:sz w:val="24"/>
          <w:u w:val="single"/>
        </w:rPr>
      </w:pPr>
      <w:r>
        <w:rPr>
          <w:rFonts w:hint="eastAsia" w:ascii="宋体" w:hAnsi="宋体" w:cs="宋体"/>
          <w:sz w:val="24"/>
        </w:rPr>
        <w:t>五</w:t>
      </w:r>
      <w:r>
        <w:rPr>
          <w:rFonts w:hint="eastAsia" w:ascii="宋体" w:hAnsi="宋体"/>
          <w:sz w:val="24"/>
        </w:rPr>
        <w:t>、报价响应文件递交及询价地点：</w:t>
      </w:r>
      <w:r>
        <w:rPr>
          <w:rFonts w:ascii="宋体" w:hAnsi="宋体" w:cs="宋体"/>
          <w:sz w:val="24"/>
        </w:rPr>
        <w:t>泉州市丰泽区东海大街398号</w:t>
      </w:r>
      <w:r>
        <w:rPr>
          <w:rFonts w:hint="eastAsia" w:ascii="宋体" w:hAnsi="宋体"/>
          <w:sz w:val="24"/>
        </w:rPr>
        <w:t>泉州师范学院图书馆四楼办公室。</w:t>
      </w:r>
    </w:p>
    <w:p w14:paraId="3C491848">
      <w:pPr>
        <w:spacing w:line="400" w:lineRule="exact"/>
        <w:ind w:firstLine="480" w:firstLineChars="200"/>
        <w:rPr>
          <w:rFonts w:ascii="宋体" w:hAnsi="宋体"/>
          <w:sz w:val="24"/>
        </w:rPr>
      </w:pPr>
      <w:r>
        <w:rPr>
          <w:rFonts w:hint="eastAsia" w:ascii="宋体" w:hAnsi="宋体" w:cs="宋体"/>
          <w:sz w:val="24"/>
        </w:rPr>
        <w:t>六</w:t>
      </w:r>
      <w:r>
        <w:rPr>
          <w:rFonts w:hint="eastAsia" w:ascii="宋体" w:hAnsi="宋体" w:cs="宋体"/>
          <w:kern w:val="0"/>
          <w:sz w:val="24"/>
          <w:shd w:val="clear" w:color="auto" w:fill="FFFFFF"/>
        </w:rPr>
        <w:t>、</w:t>
      </w:r>
      <w:r>
        <w:rPr>
          <w:rFonts w:hint="eastAsia" w:ascii="宋体" w:hAnsi="宋体"/>
          <w:sz w:val="24"/>
        </w:rPr>
        <w:t>凡对本次招标有疑义的，请以信函、电话、传真或来人与我校联系，联系人：</w:t>
      </w:r>
      <w:r>
        <w:rPr>
          <w:rFonts w:hint="eastAsia" w:ascii="宋体" w:hAnsi="宋体"/>
          <w:sz w:val="24"/>
          <w:u w:val="single"/>
        </w:rPr>
        <w:t xml:space="preserve"> 陈老师 </w:t>
      </w:r>
      <w:r>
        <w:rPr>
          <w:rFonts w:hint="eastAsia" w:ascii="宋体" w:hAnsi="宋体"/>
          <w:sz w:val="24"/>
        </w:rPr>
        <w:t>，联系电话：</w:t>
      </w:r>
      <w:r>
        <w:rPr>
          <w:rFonts w:hint="eastAsia" w:ascii="宋体" w:hAnsi="宋体" w:cs="宋体"/>
          <w:sz w:val="24"/>
          <w:u w:val="single"/>
        </w:rPr>
        <w:t xml:space="preserve"> </w:t>
      </w:r>
      <w:r>
        <w:rPr>
          <w:rFonts w:hint="eastAsia" w:ascii="宋体" w:hAnsi="宋体" w:cs="宋体"/>
          <w:sz w:val="24"/>
          <w:u w:val="single"/>
          <w:lang w:val="en-US" w:eastAsia="zh-CN"/>
        </w:rPr>
        <w:t>0595-22919859</w:t>
      </w:r>
      <w:bookmarkStart w:id="102" w:name="_GoBack"/>
      <w:bookmarkEnd w:id="102"/>
      <w:r>
        <w:rPr>
          <w:rFonts w:hint="eastAsia" w:ascii="宋体" w:hAnsi="宋体" w:cs="宋体"/>
          <w:sz w:val="24"/>
          <w:u w:val="single"/>
        </w:rPr>
        <w:t xml:space="preserve"> </w:t>
      </w:r>
      <w:r>
        <w:rPr>
          <w:rFonts w:hint="eastAsia" w:ascii="宋体" w:hAnsi="宋体" w:cs="宋体"/>
          <w:sz w:val="24"/>
          <w:lang w:val="zh-CN"/>
        </w:rPr>
        <w:t>。</w:t>
      </w:r>
    </w:p>
    <w:p w14:paraId="1DD9B41B">
      <w:pPr>
        <w:pStyle w:val="18"/>
        <w:spacing w:after="0" w:line="400" w:lineRule="exact"/>
        <w:ind w:firstLine="480" w:firstLineChars="200"/>
        <w:rPr>
          <w:rFonts w:ascii="宋体" w:hAnsi="宋体" w:cs="宋体"/>
          <w:b/>
          <w:bCs/>
          <w:kern w:val="0"/>
          <w:sz w:val="24"/>
          <w:shd w:val="clear" w:color="auto" w:fill="FFFFFF"/>
        </w:rPr>
      </w:pPr>
      <w:r>
        <w:rPr>
          <w:rFonts w:hint="eastAsia" w:ascii="宋体" w:hAnsi="宋体" w:cs="宋体"/>
          <w:sz w:val="24"/>
        </w:rPr>
        <w:t>七、</w:t>
      </w:r>
      <w:r>
        <w:rPr>
          <w:rFonts w:hint="eastAsia" w:ascii="宋体" w:hAnsi="宋体" w:cs="宋体"/>
          <w:sz w:val="24"/>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kern w:val="0"/>
          <w:sz w:val="24"/>
          <w:shd w:val="clear" w:color="auto" w:fill="FFFFFF"/>
        </w:rPr>
        <w:t xml:space="preserve">                                         </w:t>
      </w:r>
    </w:p>
    <w:p w14:paraId="36B28843">
      <w:pPr>
        <w:adjustRightInd w:val="0"/>
        <w:snapToGrid w:val="0"/>
        <w:spacing w:line="440" w:lineRule="exact"/>
        <w:ind w:firstLine="482" w:firstLineChars="200"/>
        <w:rPr>
          <w:rFonts w:ascii="宋体" w:hAnsi="宋体" w:cs="仿宋_GB2312"/>
          <w:b/>
          <w:sz w:val="24"/>
        </w:rPr>
      </w:pPr>
      <w:r>
        <w:rPr>
          <w:rFonts w:hint="eastAsia" w:ascii="宋体" w:hAnsi="宋体" w:cs="仿宋_GB2312"/>
          <w:b/>
          <w:sz w:val="24"/>
        </w:rPr>
        <w:t xml:space="preserve"> </w:t>
      </w:r>
    </w:p>
    <w:p w14:paraId="18BDFB5B">
      <w:pPr>
        <w:spacing w:beforeLines="50" w:afterLines="50" w:line="440" w:lineRule="exact"/>
        <w:jc w:val="center"/>
        <w:outlineLvl w:val="0"/>
        <w:rPr>
          <w:rFonts w:ascii="宋体" w:hAnsi="宋体"/>
          <w:b/>
          <w:sz w:val="36"/>
          <w:szCs w:val="36"/>
        </w:rPr>
      </w:pPr>
      <w:r>
        <w:rPr>
          <w:rFonts w:hint="eastAsia" w:ascii="宋体" w:hAnsi="宋体"/>
          <w:b/>
          <w:sz w:val="36"/>
          <w:szCs w:val="36"/>
        </w:rPr>
        <w:br w:type="page"/>
      </w:r>
      <w:bookmarkStart w:id="45" w:name="_Toc7302"/>
      <w:bookmarkStart w:id="46" w:name="_Toc4126"/>
      <w:r>
        <w:rPr>
          <w:rFonts w:hint="eastAsia" w:ascii="宋体" w:hAnsi="宋体"/>
          <w:b/>
          <w:sz w:val="36"/>
          <w:szCs w:val="36"/>
        </w:rPr>
        <w:t>第二部分  报价供应商须知</w:t>
      </w:r>
      <w:bookmarkEnd w:id="45"/>
      <w:bookmarkEnd w:id="46"/>
    </w:p>
    <w:p w14:paraId="2B62555E">
      <w:pPr>
        <w:pStyle w:val="16"/>
        <w:rPr>
          <w:i w:val="0"/>
          <w:iCs w:val="0"/>
        </w:rPr>
      </w:pPr>
      <w:r>
        <w:rPr>
          <w:rFonts w:hint="eastAsia" w:ascii="宋体" w:hAnsi="宋体"/>
          <w:b/>
          <w:i w:val="0"/>
          <w:iCs w:val="0"/>
          <w:sz w:val="24"/>
        </w:rPr>
        <w:t>报价供应商须知前附表是对报价供应商须知的补充，二者如有矛盾，以前附表为准。</w:t>
      </w:r>
    </w:p>
    <w:tbl>
      <w:tblPr>
        <w:tblStyle w:val="2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14:paraId="4439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0" w:type="dxa"/>
            <w:vAlign w:val="center"/>
          </w:tcPr>
          <w:p w14:paraId="4BF93A45">
            <w:pPr>
              <w:spacing w:line="440" w:lineRule="exact"/>
              <w:jc w:val="center"/>
              <w:rPr>
                <w:rFonts w:ascii="宋体" w:hAnsi="宋体"/>
                <w:b/>
                <w:sz w:val="24"/>
              </w:rPr>
            </w:pPr>
            <w:r>
              <w:rPr>
                <w:rFonts w:hint="eastAsia" w:ascii="宋体" w:hAnsi="宋体"/>
                <w:b/>
                <w:sz w:val="24"/>
              </w:rPr>
              <w:t>条款号</w:t>
            </w:r>
          </w:p>
        </w:tc>
        <w:tc>
          <w:tcPr>
            <w:tcW w:w="8951" w:type="dxa"/>
            <w:vAlign w:val="center"/>
          </w:tcPr>
          <w:p w14:paraId="4AE2DFD0">
            <w:pPr>
              <w:spacing w:line="440" w:lineRule="exact"/>
              <w:jc w:val="center"/>
              <w:rPr>
                <w:rFonts w:ascii="宋体" w:hAnsi="宋体"/>
                <w:b/>
                <w:sz w:val="24"/>
              </w:rPr>
            </w:pPr>
            <w:r>
              <w:rPr>
                <w:rFonts w:hint="eastAsia" w:ascii="宋体" w:hAnsi="宋体"/>
                <w:b/>
                <w:sz w:val="24"/>
              </w:rPr>
              <w:t>内</w:t>
            </w:r>
            <w:r>
              <w:rPr>
                <w:rFonts w:ascii="宋体" w:hAnsi="宋体"/>
                <w:b/>
                <w:sz w:val="24"/>
              </w:rPr>
              <w:t xml:space="preserve">  </w:t>
            </w:r>
            <w:r>
              <w:rPr>
                <w:rFonts w:hint="eastAsia" w:ascii="宋体" w:hAnsi="宋体"/>
                <w:b/>
                <w:sz w:val="24"/>
              </w:rPr>
              <w:t>容</w:t>
            </w:r>
          </w:p>
        </w:tc>
      </w:tr>
      <w:tr w14:paraId="0142E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40536958">
            <w:pPr>
              <w:spacing w:line="440" w:lineRule="exact"/>
              <w:jc w:val="center"/>
              <w:rPr>
                <w:rFonts w:ascii="宋体" w:hAnsi="宋体"/>
                <w:b/>
                <w:sz w:val="24"/>
              </w:rPr>
            </w:pPr>
            <w:r>
              <w:rPr>
                <w:rFonts w:hint="eastAsia" w:ascii="宋体" w:hAnsi="宋体"/>
                <w:b/>
                <w:sz w:val="24"/>
              </w:rPr>
              <w:t>1</w:t>
            </w:r>
          </w:p>
        </w:tc>
        <w:tc>
          <w:tcPr>
            <w:tcW w:w="8951" w:type="dxa"/>
            <w:vAlign w:val="center"/>
          </w:tcPr>
          <w:p w14:paraId="2DDA4CA3">
            <w:pPr>
              <w:pStyle w:val="18"/>
              <w:spacing w:after="0" w:line="440" w:lineRule="exact"/>
              <w:ind w:firstLine="0" w:firstLineChars="0"/>
              <w:rPr>
                <w:rFonts w:ascii="宋体" w:hAnsi="宋体"/>
                <w:sz w:val="24"/>
              </w:rPr>
            </w:pPr>
            <w:r>
              <w:rPr>
                <w:rFonts w:hint="eastAsia" w:ascii="宋体" w:hAnsi="宋体"/>
                <w:sz w:val="24"/>
              </w:rPr>
              <w:t>泉州师范学院图书馆</w:t>
            </w:r>
          </w:p>
          <w:p w14:paraId="7AAC579D">
            <w:pPr>
              <w:pStyle w:val="18"/>
              <w:spacing w:after="0" w:line="440" w:lineRule="exact"/>
              <w:ind w:firstLine="0" w:firstLineChars="0"/>
            </w:pPr>
            <w:r>
              <w:rPr>
                <w:rFonts w:hint="eastAsia" w:ascii="宋体" w:hAnsi="宋体" w:cs="宋体"/>
                <w:sz w:val="24"/>
              </w:rPr>
              <w:t>地址：</w:t>
            </w:r>
            <w:r>
              <w:rPr>
                <w:rFonts w:ascii="宋体" w:hAnsi="宋体" w:cs="宋体"/>
                <w:sz w:val="24"/>
              </w:rPr>
              <w:t>泉州市丰泽区东海大街398号</w:t>
            </w:r>
            <w:r>
              <w:rPr>
                <w:rFonts w:hint="eastAsia" w:ascii="宋体" w:hAnsi="宋体" w:cs="宋体"/>
                <w:sz w:val="24"/>
              </w:rPr>
              <w:t>.</w:t>
            </w:r>
          </w:p>
        </w:tc>
      </w:tr>
      <w:tr w14:paraId="6E11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5F341309">
            <w:pPr>
              <w:spacing w:line="440" w:lineRule="exact"/>
              <w:jc w:val="center"/>
              <w:rPr>
                <w:rFonts w:ascii="宋体" w:hAnsi="宋体"/>
                <w:b/>
                <w:sz w:val="24"/>
              </w:rPr>
            </w:pPr>
            <w:r>
              <w:rPr>
                <w:rFonts w:hint="eastAsia" w:ascii="宋体" w:hAnsi="宋体"/>
                <w:b/>
                <w:sz w:val="24"/>
              </w:rPr>
              <w:t>2</w:t>
            </w:r>
          </w:p>
        </w:tc>
        <w:tc>
          <w:tcPr>
            <w:tcW w:w="8951" w:type="dxa"/>
            <w:vAlign w:val="center"/>
          </w:tcPr>
          <w:p w14:paraId="2BE2A4C5">
            <w:pPr>
              <w:spacing w:line="440" w:lineRule="exact"/>
              <w:rPr>
                <w:rFonts w:ascii="宋体" w:hAnsi="宋体"/>
                <w:sz w:val="24"/>
              </w:rPr>
            </w:pPr>
            <w:r>
              <w:rPr>
                <w:rFonts w:hint="eastAsia" w:ascii="宋体" w:hAnsi="宋体"/>
                <w:b/>
                <w:sz w:val="24"/>
              </w:rPr>
              <w:t>报价供应商必须在报价文件中提供以下证明其有资格进行报价和有能力履行合同的文件(加盖报价供应商公章)：</w:t>
            </w:r>
          </w:p>
          <w:p w14:paraId="723E83A2">
            <w:pPr>
              <w:pStyle w:val="18"/>
              <w:spacing w:after="0" w:line="360" w:lineRule="auto"/>
              <w:ind w:firstLine="0" w:firstLineChars="0"/>
              <w:rPr>
                <w:rFonts w:ascii="宋体" w:hAnsi="宋体"/>
                <w:sz w:val="24"/>
              </w:rPr>
            </w:pPr>
            <w:r>
              <w:rPr>
                <w:rFonts w:hint="eastAsia" w:ascii="宋体" w:hAnsi="宋体"/>
                <w:sz w:val="24"/>
              </w:rPr>
              <w:t>1、合格有效的营业执照副本复印件；</w:t>
            </w:r>
          </w:p>
          <w:p w14:paraId="62EB3390">
            <w:pPr>
              <w:pStyle w:val="18"/>
              <w:spacing w:after="0" w:line="360" w:lineRule="auto"/>
              <w:ind w:firstLine="0" w:firstLineChars="0"/>
              <w:rPr>
                <w:rFonts w:ascii="宋体" w:hAnsi="宋体"/>
                <w:sz w:val="24"/>
              </w:rPr>
            </w:pPr>
            <w:r>
              <w:rPr>
                <w:rFonts w:hint="eastAsia" w:ascii="宋体" w:hAnsi="宋体"/>
                <w:sz w:val="24"/>
              </w:rPr>
              <w:t>2、法定代表人对谈判代表的授权委托书（原件）；</w:t>
            </w:r>
          </w:p>
          <w:p w14:paraId="6F15D1DE">
            <w:pPr>
              <w:pStyle w:val="18"/>
              <w:spacing w:after="0" w:line="360" w:lineRule="auto"/>
              <w:ind w:firstLine="0" w:firstLineChars="0"/>
              <w:rPr>
                <w:rFonts w:ascii="宋体" w:hAnsi="宋体"/>
                <w:sz w:val="24"/>
              </w:rPr>
            </w:pPr>
            <w:r>
              <w:rPr>
                <w:rFonts w:hint="eastAsia" w:ascii="宋体" w:hAnsi="宋体"/>
                <w:sz w:val="24"/>
              </w:rPr>
              <w:t>3、法定代表人身份证正反面有效复印件；</w:t>
            </w:r>
          </w:p>
          <w:p w14:paraId="4B8E203E">
            <w:pPr>
              <w:pStyle w:val="18"/>
              <w:spacing w:after="0" w:line="360" w:lineRule="auto"/>
              <w:ind w:firstLine="0" w:firstLineChars="0"/>
              <w:rPr>
                <w:rFonts w:ascii="宋体" w:hAnsi="宋体"/>
                <w:sz w:val="24"/>
              </w:rPr>
            </w:pPr>
            <w:r>
              <w:rPr>
                <w:rFonts w:hint="eastAsia" w:ascii="宋体" w:hAnsi="宋体"/>
                <w:sz w:val="24"/>
              </w:rPr>
              <w:t>4、谈判代表身份证正反面有效复印件；</w:t>
            </w:r>
          </w:p>
          <w:p w14:paraId="7D9AB171">
            <w:pPr>
              <w:spacing w:line="440" w:lineRule="exact"/>
              <w:rPr>
                <w:rFonts w:ascii="宋体" w:hAnsi="宋体"/>
                <w:sz w:val="24"/>
              </w:rPr>
            </w:pPr>
            <w:r>
              <w:rPr>
                <w:rFonts w:hint="eastAsia" w:ascii="宋体" w:hAnsi="宋体" w:cs="宋体"/>
                <w:kern w:val="0"/>
                <w:sz w:val="24"/>
                <w:shd w:val="clear" w:color="auto" w:fill="FFFFFF"/>
              </w:rPr>
              <w:t>5、报价供应商</w:t>
            </w:r>
            <w:r>
              <w:rPr>
                <w:rFonts w:hint="eastAsia" w:ascii="宋体" w:hAnsi="宋体" w:cs="宋体"/>
                <w:sz w:val="24"/>
              </w:rPr>
              <w:t>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sz w:val="24"/>
              </w:rPr>
              <w:t>；</w:t>
            </w:r>
          </w:p>
          <w:p w14:paraId="5B3CD875">
            <w:pPr>
              <w:spacing w:line="360" w:lineRule="auto"/>
              <w:rPr>
                <w:rFonts w:ascii="宋体" w:hAnsi="宋体"/>
                <w:b/>
                <w:bCs/>
                <w:sz w:val="24"/>
              </w:rPr>
            </w:pPr>
            <w:r>
              <w:rPr>
                <w:rFonts w:hint="eastAsia" w:ascii="宋体" w:hAnsi="宋体"/>
                <w:b/>
                <w:bCs/>
                <w:sz w:val="24"/>
              </w:rPr>
              <w:t>特别说明：报价供应商必须对上述资格证明文件的真实性负责，原件备查；如果报价供应商虚报上述证明文件骗取成交，其成交资格无效。</w:t>
            </w:r>
          </w:p>
        </w:tc>
      </w:tr>
      <w:tr w14:paraId="2A95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42F9EFE">
            <w:pPr>
              <w:spacing w:line="440" w:lineRule="exact"/>
              <w:jc w:val="center"/>
              <w:rPr>
                <w:rFonts w:ascii="宋体" w:hAnsi="宋体"/>
                <w:b/>
                <w:sz w:val="24"/>
              </w:rPr>
            </w:pPr>
            <w:r>
              <w:rPr>
                <w:rFonts w:hint="eastAsia" w:ascii="宋体" w:hAnsi="宋体"/>
                <w:b/>
                <w:sz w:val="24"/>
              </w:rPr>
              <w:t>3</w:t>
            </w:r>
          </w:p>
        </w:tc>
        <w:tc>
          <w:tcPr>
            <w:tcW w:w="8951" w:type="dxa"/>
            <w:vAlign w:val="center"/>
          </w:tcPr>
          <w:p w14:paraId="7172F996">
            <w:pPr>
              <w:spacing w:line="440" w:lineRule="exact"/>
              <w:rPr>
                <w:rFonts w:ascii="宋体" w:hAnsi="宋体"/>
                <w:sz w:val="24"/>
              </w:rPr>
            </w:pPr>
            <w:r>
              <w:rPr>
                <w:rFonts w:hint="eastAsia" w:ascii="宋体" w:hAnsi="宋体"/>
                <w:b/>
                <w:bCs/>
                <w:sz w:val="24"/>
              </w:rPr>
              <w:t>询价保证金：</w:t>
            </w:r>
            <w:r>
              <w:rPr>
                <w:rFonts w:hint="eastAsia" w:ascii="宋体" w:hAnsi="宋体" w:cs="宋体"/>
                <w:sz w:val="24"/>
              </w:rPr>
              <w:t>本项目无须缴纳保证金。</w:t>
            </w:r>
          </w:p>
        </w:tc>
      </w:tr>
      <w:tr w14:paraId="676B4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B844F84">
            <w:pPr>
              <w:spacing w:line="440" w:lineRule="exact"/>
              <w:jc w:val="center"/>
              <w:rPr>
                <w:rFonts w:ascii="宋体" w:hAnsi="宋体"/>
                <w:b/>
                <w:sz w:val="24"/>
              </w:rPr>
            </w:pPr>
            <w:r>
              <w:rPr>
                <w:rFonts w:hint="eastAsia" w:ascii="宋体" w:hAnsi="宋体"/>
                <w:b/>
                <w:sz w:val="24"/>
              </w:rPr>
              <w:t>4</w:t>
            </w:r>
          </w:p>
        </w:tc>
        <w:tc>
          <w:tcPr>
            <w:tcW w:w="8951" w:type="dxa"/>
            <w:vAlign w:val="center"/>
          </w:tcPr>
          <w:p w14:paraId="7D4EA578">
            <w:pPr>
              <w:spacing w:line="440" w:lineRule="exact"/>
              <w:rPr>
                <w:rFonts w:ascii="宋体" w:hAnsi="宋体"/>
                <w:sz w:val="24"/>
              </w:rPr>
            </w:pPr>
            <w:r>
              <w:rPr>
                <w:rFonts w:hint="eastAsia" w:ascii="宋体" w:hAnsi="宋体"/>
                <w:b/>
                <w:bCs/>
                <w:sz w:val="24"/>
              </w:rPr>
              <w:t>履约保证金：收取中标价的3%履约保证金。</w:t>
            </w:r>
          </w:p>
        </w:tc>
      </w:tr>
      <w:tr w14:paraId="54BFE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6E61A5BE">
            <w:pPr>
              <w:spacing w:line="440" w:lineRule="exact"/>
              <w:jc w:val="center"/>
              <w:rPr>
                <w:rFonts w:ascii="宋体" w:hAnsi="宋体"/>
                <w:b/>
                <w:sz w:val="24"/>
              </w:rPr>
            </w:pPr>
            <w:r>
              <w:rPr>
                <w:rFonts w:hint="eastAsia" w:ascii="宋体" w:hAnsi="宋体"/>
                <w:b/>
                <w:sz w:val="24"/>
              </w:rPr>
              <w:t>5</w:t>
            </w:r>
          </w:p>
        </w:tc>
        <w:tc>
          <w:tcPr>
            <w:tcW w:w="8951" w:type="dxa"/>
            <w:vAlign w:val="center"/>
          </w:tcPr>
          <w:p w14:paraId="568DE696">
            <w:pPr>
              <w:spacing w:line="440" w:lineRule="exact"/>
              <w:rPr>
                <w:rFonts w:ascii="宋体" w:hAnsi="宋体"/>
                <w:sz w:val="24"/>
              </w:rPr>
            </w:pPr>
            <w:r>
              <w:rPr>
                <w:rFonts w:hint="eastAsia" w:ascii="宋体" w:hAnsi="宋体"/>
                <w:sz w:val="24"/>
              </w:rPr>
              <w:t>报价有效期：报价文件自评审之日起，报价有效期为90天。</w:t>
            </w:r>
          </w:p>
        </w:tc>
      </w:tr>
      <w:tr w14:paraId="64F5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C24AB55">
            <w:pPr>
              <w:spacing w:line="440" w:lineRule="exact"/>
              <w:jc w:val="center"/>
              <w:rPr>
                <w:rFonts w:ascii="宋体" w:hAnsi="宋体"/>
                <w:b/>
                <w:sz w:val="24"/>
              </w:rPr>
            </w:pPr>
            <w:r>
              <w:rPr>
                <w:rFonts w:hint="eastAsia" w:ascii="宋体" w:hAnsi="宋体"/>
                <w:b/>
                <w:sz w:val="24"/>
              </w:rPr>
              <w:t>6</w:t>
            </w:r>
          </w:p>
        </w:tc>
        <w:tc>
          <w:tcPr>
            <w:tcW w:w="8951" w:type="dxa"/>
            <w:vAlign w:val="center"/>
          </w:tcPr>
          <w:p w14:paraId="003D1410">
            <w:pPr>
              <w:spacing w:line="440" w:lineRule="exact"/>
              <w:rPr>
                <w:rFonts w:ascii="宋体" w:hAnsi="宋体"/>
                <w:bCs/>
                <w:sz w:val="24"/>
              </w:rPr>
            </w:pPr>
            <w:r>
              <w:rPr>
                <w:rFonts w:hint="eastAsia" w:ascii="宋体" w:hAnsi="宋体"/>
                <w:bCs/>
                <w:sz w:val="24"/>
              </w:rPr>
              <w:t>报价供应商递交报价响应文件的份数：正本</w:t>
            </w:r>
            <w:r>
              <w:rPr>
                <w:rFonts w:hint="eastAsia" w:ascii="宋体" w:hAnsi="宋体"/>
                <w:bCs/>
                <w:sz w:val="24"/>
                <w:u w:val="single"/>
              </w:rPr>
              <w:t>1</w:t>
            </w:r>
            <w:r>
              <w:rPr>
                <w:rFonts w:hint="eastAsia" w:ascii="宋体" w:hAnsi="宋体"/>
                <w:bCs/>
                <w:sz w:val="24"/>
              </w:rPr>
              <w:t>份、副本</w:t>
            </w:r>
            <w:r>
              <w:rPr>
                <w:rFonts w:hint="eastAsia" w:ascii="宋体" w:hAnsi="宋体"/>
                <w:bCs/>
                <w:sz w:val="24"/>
                <w:u w:val="single"/>
              </w:rPr>
              <w:t>3</w:t>
            </w:r>
            <w:r>
              <w:rPr>
                <w:rFonts w:hint="eastAsia" w:ascii="宋体" w:hAnsi="宋体"/>
                <w:bCs/>
                <w:sz w:val="24"/>
              </w:rPr>
              <w:t>份。</w:t>
            </w:r>
          </w:p>
        </w:tc>
      </w:tr>
      <w:tr w14:paraId="19759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A8E45D8">
            <w:pPr>
              <w:spacing w:line="440" w:lineRule="exact"/>
              <w:jc w:val="center"/>
              <w:rPr>
                <w:rFonts w:ascii="宋体" w:hAnsi="宋体"/>
                <w:b/>
                <w:sz w:val="24"/>
              </w:rPr>
            </w:pPr>
            <w:r>
              <w:rPr>
                <w:rFonts w:hint="eastAsia" w:ascii="宋体" w:hAnsi="宋体"/>
                <w:b/>
                <w:sz w:val="24"/>
              </w:rPr>
              <w:t>7</w:t>
            </w:r>
          </w:p>
        </w:tc>
        <w:tc>
          <w:tcPr>
            <w:tcW w:w="8951" w:type="dxa"/>
            <w:vAlign w:val="center"/>
          </w:tcPr>
          <w:p w14:paraId="51A518DB">
            <w:pPr>
              <w:spacing w:line="440" w:lineRule="exact"/>
              <w:rPr>
                <w:rFonts w:ascii="宋体" w:hAnsi="宋体"/>
                <w:bCs/>
                <w:sz w:val="24"/>
              </w:rPr>
            </w:pPr>
            <w:r>
              <w:rPr>
                <w:rFonts w:hint="eastAsia" w:ascii="宋体" w:hAnsi="宋体"/>
                <w:bCs/>
                <w:sz w:val="24"/>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14:paraId="14C1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vAlign w:val="center"/>
          </w:tcPr>
          <w:p w14:paraId="3CEE1CBC">
            <w:pPr>
              <w:spacing w:line="440" w:lineRule="exact"/>
              <w:jc w:val="center"/>
              <w:rPr>
                <w:rFonts w:ascii="宋体" w:hAnsi="宋体"/>
                <w:b/>
                <w:sz w:val="24"/>
              </w:rPr>
            </w:pPr>
            <w:r>
              <w:rPr>
                <w:rFonts w:hint="eastAsia" w:ascii="宋体" w:hAnsi="宋体"/>
                <w:b/>
                <w:sz w:val="24"/>
              </w:rPr>
              <w:t>8</w:t>
            </w:r>
          </w:p>
        </w:tc>
        <w:tc>
          <w:tcPr>
            <w:tcW w:w="8951" w:type="dxa"/>
            <w:vAlign w:val="center"/>
          </w:tcPr>
          <w:p w14:paraId="14F850EC">
            <w:pPr>
              <w:tabs>
                <w:tab w:val="left" w:pos="9344"/>
              </w:tabs>
              <w:spacing w:line="440" w:lineRule="exact"/>
              <w:jc w:val="left"/>
              <w:rPr>
                <w:rFonts w:ascii="宋体" w:hAnsi="宋体"/>
                <w:b/>
                <w:sz w:val="24"/>
              </w:rPr>
            </w:pPr>
            <w:r>
              <w:rPr>
                <w:rFonts w:hint="eastAsia" w:ascii="宋体" w:hAnsi="宋体"/>
                <w:b/>
                <w:sz w:val="24"/>
              </w:rPr>
              <w:t>评审方法：本次询价采用</w:t>
            </w:r>
            <w:r>
              <w:rPr>
                <w:rFonts w:hint="eastAsia" w:ascii="宋体" w:hAnsi="宋体"/>
                <w:b/>
                <w:sz w:val="24"/>
                <w:u w:val="single"/>
              </w:rPr>
              <w:t>最低评标价法</w:t>
            </w:r>
            <w:r>
              <w:rPr>
                <w:rFonts w:hint="eastAsia" w:ascii="宋体" w:hAnsi="宋体"/>
                <w:b/>
                <w:sz w:val="24"/>
              </w:rPr>
              <w:t>。</w:t>
            </w:r>
          </w:p>
          <w:p w14:paraId="6BAB2006">
            <w:pPr>
              <w:spacing w:line="440" w:lineRule="exact"/>
              <w:rPr>
                <w:rFonts w:ascii="宋体" w:hAnsi="宋体" w:cs="仿宋_GB2312"/>
                <w:bCs/>
                <w:sz w:val="24"/>
                <w:lang w:val="zh-CN"/>
              </w:rPr>
            </w:pPr>
            <w:r>
              <w:rPr>
                <w:rFonts w:hint="eastAsia" w:ascii="宋体" w:hAnsi="宋体"/>
                <w:b/>
                <w:bCs/>
                <w:sz w:val="24"/>
              </w:rPr>
              <w:t>即在全部满足询价文件实质性要求前提下，依据统一的价格要素评定最低报价，以提出最低报价的报价供应商作为成交候选供应商或成交人。</w:t>
            </w:r>
          </w:p>
        </w:tc>
      </w:tr>
      <w:tr w14:paraId="0B2B6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6504567">
            <w:pPr>
              <w:spacing w:line="440" w:lineRule="exact"/>
              <w:jc w:val="center"/>
              <w:rPr>
                <w:rFonts w:ascii="宋体" w:hAnsi="宋体"/>
                <w:b/>
                <w:sz w:val="24"/>
              </w:rPr>
            </w:pPr>
            <w:r>
              <w:rPr>
                <w:rFonts w:hint="eastAsia" w:ascii="宋体" w:hAnsi="宋体"/>
                <w:b/>
                <w:sz w:val="24"/>
              </w:rPr>
              <w:t>9</w:t>
            </w:r>
          </w:p>
        </w:tc>
        <w:tc>
          <w:tcPr>
            <w:tcW w:w="8951" w:type="dxa"/>
            <w:vAlign w:val="center"/>
          </w:tcPr>
          <w:p w14:paraId="7139B663">
            <w:pPr>
              <w:spacing w:line="440" w:lineRule="exact"/>
              <w:rPr>
                <w:rFonts w:ascii="宋体" w:hAnsi="宋体"/>
                <w:bCs/>
                <w:sz w:val="24"/>
              </w:rPr>
            </w:pPr>
            <w:r>
              <w:rPr>
                <w:rFonts w:ascii="宋体" w:hAnsi="宋体"/>
                <w:bCs/>
                <w:sz w:val="24"/>
              </w:rPr>
              <w:t>询价小组根据</w:t>
            </w:r>
            <w:r>
              <w:rPr>
                <w:rFonts w:hint="eastAsia" w:ascii="宋体" w:hAnsi="宋体"/>
                <w:bCs/>
                <w:sz w:val="24"/>
              </w:rPr>
              <w:t>询价</w:t>
            </w:r>
            <w:r>
              <w:rPr>
                <w:rFonts w:ascii="宋体" w:hAnsi="宋体"/>
                <w:bCs/>
                <w:sz w:val="24"/>
              </w:rPr>
              <w:t>文件、报价文件，经综合分析、比较、算术性修正、评标价格量化，按满足</w:t>
            </w:r>
            <w:r>
              <w:rPr>
                <w:rFonts w:hint="eastAsia" w:ascii="宋体" w:hAnsi="宋体"/>
                <w:bCs/>
                <w:sz w:val="24"/>
              </w:rPr>
              <w:t>询价</w:t>
            </w:r>
            <w:r>
              <w:rPr>
                <w:rFonts w:ascii="宋体" w:hAnsi="宋体"/>
                <w:bCs/>
                <w:sz w:val="24"/>
              </w:rPr>
              <w:t>文件实质性要求，符合采购需求、质量和服务相等的前提下，对报价供应商的评标价格从低到高进行排序，并依照排序推荐</w:t>
            </w:r>
            <w:r>
              <w:rPr>
                <w:rFonts w:hint="eastAsia" w:ascii="宋体" w:hAnsi="宋体"/>
                <w:bCs/>
                <w:sz w:val="24"/>
              </w:rPr>
              <w:t>三</w:t>
            </w:r>
            <w:r>
              <w:rPr>
                <w:rFonts w:ascii="宋体" w:hAnsi="宋体"/>
                <w:bCs/>
                <w:sz w:val="24"/>
              </w:rPr>
              <w:t>名</w:t>
            </w:r>
            <w:r>
              <w:rPr>
                <w:rFonts w:hint="eastAsia" w:ascii="宋体" w:hAnsi="宋体"/>
                <w:bCs/>
                <w:sz w:val="24"/>
              </w:rPr>
              <w:t>成交</w:t>
            </w:r>
            <w:r>
              <w:rPr>
                <w:rFonts w:ascii="宋体" w:hAnsi="宋体"/>
                <w:bCs/>
                <w:sz w:val="24"/>
              </w:rPr>
              <w:t>候选人。当出现二个或二个以上相同报价，则抽签产生第一</w:t>
            </w:r>
            <w:r>
              <w:rPr>
                <w:rFonts w:hint="eastAsia" w:ascii="宋体" w:hAnsi="宋体"/>
                <w:bCs/>
                <w:sz w:val="24"/>
              </w:rPr>
              <w:t>成交</w:t>
            </w:r>
            <w:r>
              <w:rPr>
                <w:rFonts w:ascii="宋体" w:hAnsi="宋体"/>
                <w:bCs/>
                <w:sz w:val="24"/>
              </w:rPr>
              <w:t>候选供应商。</w:t>
            </w:r>
          </w:p>
        </w:tc>
      </w:tr>
      <w:tr w14:paraId="671B4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72A8DB34">
            <w:pPr>
              <w:spacing w:line="440" w:lineRule="exact"/>
              <w:jc w:val="center"/>
              <w:rPr>
                <w:rFonts w:ascii="宋体" w:hAnsi="宋体"/>
                <w:b/>
                <w:sz w:val="24"/>
              </w:rPr>
            </w:pPr>
            <w:r>
              <w:rPr>
                <w:rFonts w:hint="eastAsia" w:ascii="宋体" w:hAnsi="宋体"/>
                <w:b/>
                <w:sz w:val="24"/>
              </w:rPr>
              <w:t>10</w:t>
            </w:r>
          </w:p>
        </w:tc>
        <w:tc>
          <w:tcPr>
            <w:tcW w:w="8951" w:type="dxa"/>
            <w:vAlign w:val="center"/>
          </w:tcPr>
          <w:p w14:paraId="0252ABC2">
            <w:pPr>
              <w:spacing w:line="440" w:lineRule="exact"/>
              <w:rPr>
                <w:rFonts w:ascii="宋体" w:hAnsi="宋体"/>
                <w:bCs/>
                <w:sz w:val="24"/>
              </w:rPr>
            </w:pPr>
            <w:r>
              <w:rPr>
                <w:rFonts w:hint="eastAsia" w:ascii="宋体" w:hAnsi="宋体"/>
                <w:bCs/>
                <w:sz w:val="24"/>
              </w:rPr>
              <w:t>询价小组在遵循采购法规定的原则上，按照本询价采购文件规定的评定标准进行评议，根据符合采购需求、质量和服务相等，报价最低且未超过采购预算的报价供应商为成交供应商。</w:t>
            </w:r>
          </w:p>
        </w:tc>
      </w:tr>
      <w:tr w14:paraId="79297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5797618">
            <w:pPr>
              <w:spacing w:line="440" w:lineRule="exact"/>
              <w:jc w:val="center"/>
              <w:rPr>
                <w:rFonts w:ascii="宋体" w:hAnsi="宋体"/>
                <w:b/>
                <w:sz w:val="24"/>
              </w:rPr>
            </w:pPr>
            <w:r>
              <w:rPr>
                <w:rFonts w:hint="eastAsia" w:ascii="宋体" w:hAnsi="宋体"/>
                <w:b/>
                <w:sz w:val="24"/>
              </w:rPr>
              <w:t>11</w:t>
            </w:r>
          </w:p>
        </w:tc>
        <w:tc>
          <w:tcPr>
            <w:tcW w:w="8951" w:type="dxa"/>
            <w:vAlign w:val="center"/>
          </w:tcPr>
          <w:p w14:paraId="465E0D34">
            <w:pPr>
              <w:spacing w:line="440" w:lineRule="exact"/>
              <w:rPr>
                <w:rFonts w:ascii="宋体" w:hAnsi="宋体"/>
                <w:sz w:val="24"/>
              </w:rPr>
            </w:pPr>
            <w:r>
              <w:rPr>
                <w:rFonts w:hint="eastAsia" w:ascii="宋体" w:hAnsi="宋体"/>
                <w:sz w:val="24"/>
                <w:lang w:val="zh-CN"/>
              </w:rPr>
              <w:t>成交供应商接到采购单位成交通知后</w:t>
            </w:r>
            <w:r>
              <w:rPr>
                <w:rFonts w:hint="eastAsia" w:ascii="宋体" w:hAnsi="宋体"/>
                <w:sz w:val="24"/>
              </w:rPr>
              <w:t>30</w:t>
            </w:r>
            <w:r>
              <w:rPr>
                <w:rFonts w:hint="eastAsia" w:ascii="宋体" w:hAnsi="宋体"/>
                <w:sz w:val="24"/>
                <w:lang w:val="zh-CN"/>
              </w:rPr>
              <w:t>日内与采购人签订合同，逾期视为自动放弃中标资格，并将追究相关责任逾期按谈判后撤回成交处理。</w:t>
            </w:r>
          </w:p>
        </w:tc>
      </w:tr>
      <w:tr w14:paraId="5E16E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D2D1D97">
            <w:pPr>
              <w:spacing w:line="440" w:lineRule="exact"/>
              <w:jc w:val="center"/>
              <w:rPr>
                <w:rFonts w:ascii="宋体" w:hAnsi="宋体"/>
                <w:b/>
                <w:sz w:val="24"/>
              </w:rPr>
            </w:pPr>
            <w:r>
              <w:rPr>
                <w:rFonts w:hint="eastAsia" w:ascii="宋体" w:hAnsi="宋体"/>
                <w:b/>
                <w:sz w:val="24"/>
              </w:rPr>
              <w:t>12</w:t>
            </w:r>
          </w:p>
        </w:tc>
        <w:tc>
          <w:tcPr>
            <w:tcW w:w="8951" w:type="dxa"/>
            <w:vAlign w:val="center"/>
          </w:tcPr>
          <w:p w14:paraId="5AAA6B24">
            <w:pPr>
              <w:spacing w:line="440" w:lineRule="exact"/>
              <w:rPr>
                <w:rFonts w:ascii="宋体" w:hAnsi="宋体"/>
                <w:b/>
                <w:sz w:val="24"/>
              </w:rPr>
            </w:pPr>
            <w:r>
              <w:rPr>
                <w:rFonts w:hint="eastAsia" w:ascii="宋体" w:hAnsi="宋体"/>
                <w:b/>
                <w:bCs/>
                <w:sz w:val="24"/>
              </w:rPr>
              <w:t>出现下列情形之一的，本次询价采购应予废标：</w:t>
            </w:r>
          </w:p>
          <w:p w14:paraId="7CA5B565">
            <w:pPr>
              <w:spacing w:line="440" w:lineRule="exact"/>
              <w:rPr>
                <w:rFonts w:ascii="宋体" w:hAnsi="宋体"/>
                <w:sz w:val="24"/>
              </w:rPr>
            </w:pPr>
            <w:r>
              <w:rPr>
                <w:rFonts w:hint="eastAsia" w:ascii="宋体" w:hAnsi="宋体"/>
                <w:bCs/>
                <w:sz w:val="24"/>
              </w:rPr>
              <w:t>1.符合专业条件的供应商或者对询价文件作实质性响应的供应商不足三家的；</w:t>
            </w:r>
          </w:p>
          <w:p w14:paraId="76AAA5BD">
            <w:pPr>
              <w:spacing w:line="440" w:lineRule="exact"/>
              <w:rPr>
                <w:rFonts w:ascii="宋体" w:hAnsi="宋体"/>
                <w:sz w:val="24"/>
              </w:rPr>
            </w:pPr>
            <w:r>
              <w:rPr>
                <w:rFonts w:hint="eastAsia" w:ascii="宋体" w:hAnsi="宋体"/>
                <w:bCs/>
                <w:sz w:val="24"/>
              </w:rPr>
              <w:t>2.出现影响采购公正的违法、违规行为的；</w:t>
            </w:r>
          </w:p>
          <w:p w14:paraId="2E1CCE69">
            <w:pPr>
              <w:spacing w:line="440" w:lineRule="exact"/>
              <w:rPr>
                <w:rFonts w:ascii="宋体" w:hAnsi="宋体"/>
                <w:sz w:val="24"/>
              </w:rPr>
            </w:pPr>
            <w:r>
              <w:rPr>
                <w:rFonts w:hint="eastAsia" w:ascii="宋体" w:hAnsi="宋体"/>
                <w:bCs/>
                <w:sz w:val="24"/>
              </w:rPr>
              <w:t>3.报价供应商的报价均超过了采购预算，采购人不能支付的；</w:t>
            </w:r>
          </w:p>
          <w:p w14:paraId="2835F068">
            <w:pPr>
              <w:spacing w:line="440" w:lineRule="exact"/>
              <w:rPr>
                <w:rFonts w:ascii="宋体" w:hAnsi="宋体"/>
                <w:bCs/>
                <w:sz w:val="24"/>
              </w:rPr>
            </w:pPr>
            <w:r>
              <w:rPr>
                <w:rFonts w:hint="eastAsia" w:ascii="宋体" w:hAnsi="宋体"/>
                <w:bCs/>
                <w:sz w:val="24"/>
              </w:rPr>
              <w:t>4.因重大变故，采购任务取消的。</w:t>
            </w:r>
          </w:p>
        </w:tc>
      </w:tr>
      <w:tr w14:paraId="2ED30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6E24D3C2">
            <w:pPr>
              <w:spacing w:line="440" w:lineRule="exact"/>
              <w:jc w:val="center"/>
              <w:rPr>
                <w:b/>
                <w:sz w:val="24"/>
              </w:rPr>
            </w:pPr>
            <w:r>
              <w:rPr>
                <w:rFonts w:hint="eastAsia"/>
                <w:b/>
                <w:sz w:val="24"/>
              </w:rPr>
              <w:t>13</w:t>
            </w:r>
          </w:p>
        </w:tc>
        <w:tc>
          <w:tcPr>
            <w:tcW w:w="8951" w:type="dxa"/>
            <w:vAlign w:val="center"/>
          </w:tcPr>
          <w:p w14:paraId="7E80830F">
            <w:pPr>
              <w:spacing w:line="440" w:lineRule="exact"/>
              <w:rPr>
                <w:rFonts w:ascii="宋体" w:hAnsi="宋体"/>
                <w:sz w:val="24"/>
              </w:rPr>
            </w:pPr>
            <w:r>
              <w:rPr>
                <w:rFonts w:hint="eastAsia" w:ascii="宋体" w:hAnsi="宋体"/>
                <w:b/>
                <w:sz w:val="24"/>
              </w:rPr>
              <w:t>凡有下列情况之一的，其报价将按照</w:t>
            </w:r>
            <w:r>
              <w:rPr>
                <w:rFonts w:hint="eastAsia" w:ascii="宋体" w:hAnsi="宋体"/>
                <w:b/>
                <w:bCs/>
                <w:sz w:val="24"/>
              </w:rPr>
              <w:t>无效报价处理</w:t>
            </w:r>
            <w:r>
              <w:rPr>
                <w:rFonts w:hint="eastAsia" w:ascii="宋体" w:hAnsi="宋体"/>
                <w:b/>
                <w:sz w:val="24"/>
              </w:rPr>
              <w:t>：</w:t>
            </w:r>
          </w:p>
          <w:p w14:paraId="231C9B15">
            <w:pPr>
              <w:spacing w:line="440" w:lineRule="exact"/>
              <w:rPr>
                <w:rFonts w:ascii="宋体" w:hAnsi="宋体"/>
                <w:sz w:val="24"/>
              </w:rPr>
            </w:pPr>
            <w:r>
              <w:rPr>
                <w:rFonts w:hint="eastAsia" w:ascii="宋体" w:hAnsi="宋体"/>
                <w:bCs/>
                <w:sz w:val="24"/>
              </w:rPr>
              <w:t>1.</w:t>
            </w:r>
            <w:r>
              <w:rPr>
                <w:rFonts w:hint="eastAsia" w:ascii="宋体" w:hAnsi="宋体"/>
                <w:sz w:val="24"/>
              </w:rPr>
              <w:t>未按照询价文件规定要求装订、密封、签字、加盖报价供应商公章的；</w:t>
            </w:r>
          </w:p>
          <w:p w14:paraId="6DC01925">
            <w:pPr>
              <w:spacing w:line="440" w:lineRule="exact"/>
              <w:rPr>
                <w:rFonts w:ascii="宋体" w:hAnsi="宋体"/>
                <w:sz w:val="24"/>
              </w:rPr>
            </w:pPr>
            <w:r>
              <w:rPr>
                <w:rFonts w:hint="eastAsia" w:ascii="宋体" w:hAnsi="宋体"/>
                <w:bCs/>
                <w:sz w:val="24"/>
              </w:rPr>
              <w:t>2.</w:t>
            </w:r>
            <w:r>
              <w:rPr>
                <w:rFonts w:hint="eastAsia" w:ascii="宋体" w:hAnsi="宋体"/>
                <w:sz w:val="24"/>
              </w:rPr>
              <w:t>不具备询价文件中规定资格要求或提供资格证明文件不全的；</w:t>
            </w:r>
          </w:p>
          <w:p w14:paraId="6F840EBF">
            <w:pPr>
              <w:spacing w:line="440" w:lineRule="exact"/>
              <w:rPr>
                <w:rFonts w:ascii="宋体" w:hAnsi="宋体"/>
                <w:bCs/>
                <w:sz w:val="24"/>
              </w:rPr>
            </w:pPr>
            <w:r>
              <w:rPr>
                <w:rFonts w:hint="eastAsia" w:ascii="宋体" w:hAnsi="宋体"/>
                <w:bCs/>
                <w:sz w:val="24"/>
              </w:rPr>
              <w:t>3.报价超过最高限价的；</w:t>
            </w:r>
          </w:p>
          <w:p w14:paraId="558B8BEA">
            <w:pPr>
              <w:spacing w:line="440" w:lineRule="exact"/>
              <w:rPr>
                <w:rFonts w:ascii="宋体" w:hAnsi="宋体"/>
                <w:bCs/>
                <w:sz w:val="24"/>
              </w:rPr>
            </w:pPr>
            <w:r>
              <w:rPr>
                <w:rFonts w:hint="eastAsia" w:ascii="宋体" w:hAnsi="宋体"/>
                <w:bCs/>
                <w:sz w:val="24"/>
              </w:rPr>
              <w:t>4.提交的是可选择性报价的；</w:t>
            </w:r>
          </w:p>
          <w:p w14:paraId="4DCBA890">
            <w:pPr>
              <w:spacing w:line="440" w:lineRule="exact"/>
              <w:rPr>
                <w:rFonts w:ascii="宋体" w:hAnsi="宋体"/>
                <w:bCs/>
                <w:sz w:val="24"/>
              </w:rPr>
            </w:pPr>
            <w:r>
              <w:rPr>
                <w:rFonts w:hint="eastAsia" w:ascii="宋体" w:hAnsi="宋体"/>
                <w:bCs/>
                <w:sz w:val="24"/>
              </w:rPr>
              <w:t>5.报价内容与询价内容及技术要求有不满足的；</w:t>
            </w:r>
          </w:p>
          <w:p w14:paraId="6433540B">
            <w:pPr>
              <w:spacing w:line="440" w:lineRule="exact"/>
              <w:rPr>
                <w:rFonts w:ascii="宋体" w:hAnsi="宋体"/>
                <w:bCs/>
                <w:sz w:val="24"/>
              </w:rPr>
            </w:pPr>
            <w:r>
              <w:rPr>
                <w:rFonts w:hint="eastAsia" w:ascii="宋体" w:hAnsi="宋体"/>
                <w:bCs/>
                <w:sz w:val="24"/>
              </w:rPr>
              <w:t>6.干扰或试图对采购人、采购代理机构和询价小组的评审、比较或评审结果的决定进行影响；</w:t>
            </w:r>
          </w:p>
          <w:p w14:paraId="51255DB9">
            <w:pPr>
              <w:spacing w:line="440" w:lineRule="exact"/>
              <w:rPr>
                <w:rFonts w:ascii="宋体" w:hAnsi="宋体"/>
                <w:bCs/>
                <w:sz w:val="24"/>
              </w:rPr>
            </w:pPr>
            <w:r>
              <w:rPr>
                <w:rFonts w:hint="eastAsia" w:ascii="宋体" w:hAnsi="宋体"/>
                <w:bCs/>
                <w:sz w:val="24"/>
              </w:rPr>
              <w:t>7.报价有严重缺漏项目的；</w:t>
            </w:r>
          </w:p>
          <w:p w14:paraId="0FDE09B8">
            <w:pPr>
              <w:spacing w:line="440" w:lineRule="exact"/>
              <w:rPr>
                <w:rFonts w:ascii="宋体" w:hAnsi="宋体"/>
                <w:sz w:val="24"/>
              </w:rPr>
            </w:pPr>
            <w:r>
              <w:rPr>
                <w:rFonts w:hint="eastAsia" w:ascii="宋体" w:hAnsi="宋体"/>
                <w:bCs/>
                <w:sz w:val="24"/>
              </w:rPr>
              <w:t>8.</w:t>
            </w:r>
            <w:r>
              <w:rPr>
                <w:rFonts w:hint="eastAsia" w:ascii="宋体" w:hAnsi="宋体"/>
                <w:sz w:val="24"/>
              </w:rPr>
              <w:t>不符合法律、法规和询价文件中规定的其他实质性要求的；</w:t>
            </w:r>
          </w:p>
          <w:p w14:paraId="45B99316">
            <w:pPr>
              <w:spacing w:line="440" w:lineRule="exact"/>
              <w:rPr>
                <w:rFonts w:ascii="宋体" w:hAnsi="宋体"/>
                <w:sz w:val="24"/>
              </w:rPr>
            </w:pPr>
            <w:r>
              <w:rPr>
                <w:rFonts w:hint="eastAsia" w:ascii="宋体" w:hAnsi="宋体"/>
                <w:bCs/>
                <w:sz w:val="24"/>
              </w:rPr>
              <w:t>9.</w:t>
            </w:r>
            <w:r>
              <w:rPr>
                <w:rFonts w:hint="eastAsia" w:ascii="宋体" w:hAnsi="宋体"/>
                <w:sz w:val="24"/>
              </w:rPr>
              <w:t>出现影响采购公正的违法、违规行为的。</w:t>
            </w:r>
          </w:p>
        </w:tc>
      </w:tr>
    </w:tbl>
    <w:p w14:paraId="0B537F3E">
      <w:pPr>
        <w:pStyle w:val="3"/>
        <w:spacing w:before="120" w:after="120" w:line="440" w:lineRule="exact"/>
        <w:rPr>
          <w:rFonts w:ascii="宋体" w:hAnsi="宋体" w:eastAsia="宋体"/>
          <w:sz w:val="36"/>
          <w:szCs w:val="36"/>
        </w:rPr>
        <w:sectPr>
          <w:footerReference r:id="rId10" w:type="first"/>
          <w:footerReference r:id="rId9" w:type="default"/>
          <w:pgSz w:w="11906" w:h="16838"/>
          <w:pgMar w:top="1134" w:right="1134" w:bottom="851" w:left="1247" w:header="567" w:footer="567" w:gutter="0"/>
          <w:cols w:space="720" w:num="1"/>
          <w:docGrid w:type="lines" w:linePitch="312" w:charSpace="0"/>
        </w:sectPr>
      </w:pPr>
      <w:bookmarkStart w:id="47" w:name="_Toc5918"/>
      <w:bookmarkStart w:id="48" w:name="_Toc4338"/>
      <w:bookmarkStart w:id="49" w:name="_Toc12454"/>
    </w:p>
    <w:p w14:paraId="4EC0A732">
      <w:pPr>
        <w:pStyle w:val="3"/>
        <w:spacing w:before="120" w:after="120" w:line="440" w:lineRule="exact"/>
        <w:jc w:val="center"/>
        <w:rPr>
          <w:rFonts w:ascii="宋体" w:hAnsi="宋体" w:eastAsia="宋体"/>
          <w:sz w:val="24"/>
          <w:szCs w:val="24"/>
        </w:rPr>
      </w:pPr>
      <w:r>
        <w:rPr>
          <w:rFonts w:hint="eastAsia" w:ascii="宋体" w:hAnsi="宋体" w:eastAsia="宋体"/>
          <w:sz w:val="36"/>
          <w:szCs w:val="36"/>
        </w:rPr>
        <w:t>第三部分    询价内容及要求</w:t>
      </w:r>
    </w:p>
    <w:p w14:paraId="2D717F27">
      <w:pPr>
        <w:spacing w:line="440" w:lineRule="exact"/>
        <w:rPr>
          <w:rFonts w:ascii="宋体" w:hAnsi="宋体"/>
          <w:b/>
          <w:kern w:val="0"/>
          <w:sz w:val="24"/>
        </w:rPr>
      </w:pPr>
      <w:r>
        <w:rPr>
          <w:rFonts w:hint="eastAsia" w:ascii="宋体" w:hAnsi="宋体"/>
          <w:b/>
          <w:kern w:val="0"/>
          <w:sz w:val="24"/>
        </w:rPr>
        <w:t>一、基本技术参数及要求</w:t>
      </w:r>
    </w:p>
    <w:tbl>
      <w:tblPr>
        <w:tblStyle w:val="20"/>
        <w:tblW w:w="19885" w:type="dxa"/>
        <w:jc w:val="center"/>
        <w:tblLayout w:type="fixed"/>
        <w:tblCellMar>
          <w:top w:w="0" w:type="dxa"/>
          <w:left w:w="108" w:type="dxa"/>
          <w:bottom w:w="0" w:type="dxa"/>
          <w:right w:w="108" w:type="dxa"/>
        </w:tblCellMar>
      </w:tblPr>
      <w:tblGrid>
        <w:gridCol w:w="848"/>
        <w:gridCol w:w="915"/>
        <w:gridCol w:w="1608"/>
        <w:gridCol w:w="5783"/>
        <w:gridCol w:w="800"/>
        <w:gridCol w:w="750"/>
        <w:gridCol w:w="1057"/>
        <w:gridCol w:w="1227"/>
        <w:gridCol w:w="6897"/>
      </w:tblGrid>
      <w:tr w14:paraId="32ECB9E8">
        <w:tblPrEx>
          <w:tblCellMar>
            <w:top w:w="0" w:type="dxa"/>
            <w:left w:w="108" w:type="dxa"/>
            <w:bottom w:w="0" w:type="dxa"/>
            <w:right w:w="108" w:type="dxa"/>
          </w:tblCellMar>
        </w:tblPrEx>
        <w:trPr>
          <w:jc w:val="center"/>
        </w:trPr>
        <w:tc>
          <w:tcPr>
            <w:tcW w:w="19885" w:type="dxa"/>
            <w:gridSpan w:val="9"/>
            <w:tcBorders>
              <w:top w:val="nil"/>
              <w:left w:val="nil"/>
              <w:bottom w:val="single" w:color="000000" w:sz="4" w:space="0"/>
              <w:right w:val="single" w:color="000000" w:sz="4" w:space="0"/>
            </w:tcBorders>
          </w:tcPr>
          <w:p w14:paraId="6388C98F">
            <w:pPr>
              <w:rPr>
                <w:rFonts w:ascii="方正小标宋简体" w:hAnsi="黑体" w:eastAsia="方正小标宋简体"/>
                <w:b/>
                <w:bCs/>
                <w:sz w:val="36"/>
                <w:szCs w:val="36"/>
              </w:rPr>
            </w:pPr>
          </w:p>
        </w:tc>
      </w:tr>
      <w:tr w14:paraId="3410AD95">
        <w:tblPrEx>
          <w:tblCellMar>
            <w:top w:w="0" w:type="dxa"/>
            <w:left w:w="108" w:type="dxa"/>
            <w:bottom w:w="0" w:type="dxa"/>
            <w:right w:w="108" w:type="dxa"/>
          </w:tblCellMar>
        </w:tblPrEx>
        <w:trPr>
          <w:trHeight w:val="674" w:hRule="atLeast"/>
          <w:jc w:val="center"/>
        </w:trPr>
        <w:tc>
          <w:tcPr>
            <w:tcW w:w="19885" w:type="dxa"/>
            <w:gridSpan w:val="9"/>
            <w:tcBorders>
              <w:top w:val="single" w:color="000000" w:sz="4" w:space="0"/>
              <w:left w:val="single" w:color="000000" w:sz="4" w:space="0"/>
              <w:bottom w:val="single" w:color="000000" w:sz="4" w:space="0"/>
              <w:right w:val="single" w:color="000000" w:sz="4" w:space="0"/>
            </w:tcBorders>
          </w:tcPr>
          <w:p w14:paraId="3EE0C3AB">
            <w:pPr>
              <w:rPr>
                <w:rFonts w:ascii="黑体" w:hAnsi="黑体" w:eastAsia="黑体"/>
                <w:sz w:val="24"/>
              </w:rPr>
            </w:pPr>
          </w:p>
          <w:p w14:paraId="77925027">
            <w:pPr>
              <w:rPr>
                <w:rFonts w:ascii="黑体" w:hAnsi="黑体" w:eastAsia="黑体"/>
                <w:sz w:val="24"/>
              </w:rPr>
            </w:pPr>
            <w:r>
              <w:rPr>
                <w:rFonts w:hint="eastAsia" w:ascii="黑体" w:hAnsi="黑体" w:eastAsia="黑体"/>
                <w:sz w:val="24"/>
              </w:rPr>
              <w:t>项目名称：</w:t>
            </w:r>
            <w:r>
              <w:rPr>
                <w:rFonts w:hint="eastAsia" w:ascii="黑体" w:hAnsi="黑体" w:eastAsia="黑体"/>
                <w:sz w:val="24"/>
                <w:u w:val="single"/>
              </w:rPr>
              <w:t xml:space="preserve">泉州师范学院图书馆办公家具采购项目   </w:t>
            </w:r>
            <w:r>
              <w:rPr>
                <w:rFonts w:hint="eastAsia" w:ascii="黑体" w:hAnsi="黑体" w:eastAsia="黑体"/>
                <w:sz w:val="24"/>
              </w:rPr>
              <w:t>（采购单位）</w:t>
            </w:r>
            <w:r>
              <w:rPr>
                <w:rFonts w:hint="eastAsia" w:ascii="黑体" w:hAnsi="黑体" w:eastAsia="黑体"/>
                <w:sz w:val="24"/>
                <w:u w:val="single"/>
              </w:rPr>
              <w:t xml:space="preserve">泉州师范学院图书馆 </w:t>
            </w:r>
            <w:r>
              <w:rPr>
                <w:rFonts w:hint="eastAsia" w:ascii="宋体" w:hAnsi="宋体" w:cs="宋体"/>
                <w:sz w:val="24"/>
              </w:rPr>
              <w:t> </w:t>
            </w:r>
          </w:p>
        </w:tc>
      </w:tr>
      <w:tr w14:paraId="587AABC2">
        <w:tblPrEx>
          <w:tblCellMar>
            <w:top w:w="0" w:type="dxa"/>
            <w:left w:w="108" w:type="dxa"/>
            <w:bottom w:w="0" w:type="dxa"/>
            <w:right w:w="108" w:type="dxa"/>
          </w:tblCellMar>
        </w:tblPrEx>
        <w:trPr>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3F109F97">
            <w:pPr>
              <w:jc w:val="center"/>
              <w:rPr>
                <w:rFonts w:ascii="黑体" w:hAnsi="黑体" w:eastAsia="黑体"/>
                <w:sz w:val="24"/>
              </w:rPr>
            </w:pPr>
            <w:r>
              <w:rPr>
                <w:rFonts w:hint="eastAsia" w:ascii="黑体" w:hAnsi="黑体" w:eastAsia="黑体"/>
                <w:sz w:val="24"/>
              </w:rPr>
              <w:t>合同包</w:t>
            </w:r>
          </w:p>
        </w:tc>
        <w:tc>
          <w:tcPr>
            <w:tcW w:w="915" w:type="dxa"/>
            <w:tcBorders>
              <w:top w:val="single" w:color="000000" w:sz="4" w:space="0"/>
              <w:left w:val="nil"/>
              <w:bottom w:val="single" w:color="000000" w:sz="4" w:space="0"/>
              <w:right w:val="single" w:color="000000" w:sz="4" w:space="0"/>
            </w:tcBorders>
            <w:vAlign w:val="center"/>
          </w:tcPr>
          <w:p w14:paraId="5DC8ED67">
            <w:pPr>
              <w:jc w:val="center"/>
              <w:rPr>
                <w:rFonts w:ascii="黑体" w:hAnsi="黑体" w:eastAsia="黑体"/>
                <w:sz w:val="24"/>
              </w:rPr>
            </w:pPr>
            <w:r>
              <w:rPr>
                <w:rFonts w:hint="eastAsia" w:ascii="黑体" w:hAnsi="黑体" w:eastAsia="黑体"/>
                <w:sz w:val="24"/>
              </w:rPr>
              <w:t>品目号</w:t>
            </w:r>
          </w:p>
        </w:tc>
        <w:tc>
          <w:tcPr>
            <w:tcW w:w="1608" w:type="dxa"/>
            <w:tcBorders>
              <w:top w:val="single" w:color="000000" w:sz="4" w:space="0"/>
              <w:left w:val="nil"/>
              <w:bottom w:val="single" w:color="000000" w:sz="4" w:space="0"/>
              <w:right w:val="single" w:color="000000" w:sz="4" w:space="0"/>
            </w:tcBorders>
            <w:vAlign w:val="center"/>
          </w:tcPr>
          <w:p w14:paraId="671ADD7F">
            <w:pPr>
              <w:rPr>
                <w:rFonts w:ascii="黑体" w:hAnsi="黑体" w:eastAsia="黑体"/>
                <w:sz w:val="24"/>
              </w:rPr>
            </w:pPr>
            <w:r>
              <w:rPr>
                <w:rFonts w:hint="eastAsia" w:ascii="黑体" w:hAnsi="黑体" w:eastAsia="黑体"/>
                <w:sz w:val="24"/>
              </w:rPr>
              <w:t>商品名称</w:t>
            </w:r>
          </w:p>
        </w:tc>
        <w:tc>
          <w:tcPr>
            <w:tcW w:w="5783" w:type="dxa"/>
            <w:tcBorders>
              <w:top w:val="single" w:color="000000" w:sz="4" w:space="0"/>
              <w:left w:val="nil"/>
              <w:bottom w:val="single" w:color="000000" w:sz="4" w:space="0"/>
              <w:right w:val="single" w:color="000000" w:sz="4" w:space="0"/>
            </w:tcBorders>
            <w:vAlign w:val="center"/>
          </w:tcPr>
          <w:p w14:paraId="286CA694">
            <w:pPr>
              <w:jc w:val="center"/>
              <w:rPr>
                <w:rFonts w:ascii="黑体" w:hAnsi="黑体" w:eastAsia="黑体"/>
                <w:sz w:val="24"/>
              </w:rPr>
            </w:pPr>
            <w:r>
              <w:rPr>
                <w:rFonts w:hint="eastAsia" w:ascii="黑体" w:hAnsi="黑体" w:eastAsia="黑体"/>
                <w:sz w:val="24"/>
              </w:rPr>
              <w:t>参数及规格</w:t>
            </w:r>
          </w:p>
        </w:tc>
        <w:tc>
          <w:tcPr>
            <w:tcW w:w="800" w:type="dxa"/>
            <w:tcBorders>
              <w:top w:val="single" w:color="000000" w:sz="4" w:space="0"/>
              <w:left w:val="nil"/>
              <w:bottom w:val="single" w:color="000000" w:sz="4" w:space="0"/>
              <w:right w:val="single" w:color="000000" w:sz="4" w:space="0"/>
            </w:tcBorders>
            <w:vAlign w:val="center"/>
          </w:tcPr>
          <w:p w14:paraId="709EDAB0">
            <w:pPr>
              <w:jc w:val="center"/>
              <w:rPr>
                <w:rFonts w:ascii="黑体" w:hAnsi="黑体" w:eastAsia="黑体"/>
                <w:sz w:val="24"/>
              </w:rPr>
            </w:pPr>
            <w:r>
              <w:rPr>
                <w:rFonts w:hint="eastAsia" w:ascii="黑体" w:hAnsi="黑体" w:eastAsia="黑体"/>
                <w:sz w:val="24"/>
              </w:rPr>
              <w:t>计量单位</w:t>
            </w:r>
          </w:p>
        </w:tc>
        <w:tc>
          <w:tcPr>
            <w:tcW w:w="750" w:type="dxa"/>
            <w:tcBorders>
              <w:top w:val="single" w:color="000000" w:sz="4" w:space="0"/>
              <w:left w:val="nil"/>
              <w:bottom w:val="single" w:color="000000" w:sz="4" w:space="0"/>
              <w:right w:val="single" w:color="000000" w:sz="4" w:space="0"/>
            </w:tcBorders>
            <w:vAlign w:val="center"/>
          </w:tcPr>
          <w:p w14:paraId="2748FB01">
            <w:pPr>
              <w:jc w:val="center"/>
              <w:rPr>
                <w:rFonts w:ascii="黑体" w:hAnsi="黑体" w:eastAsia="黑体"/>
                <w:sz w:val="24"/>
              </w:rPr>
            </w:pPr>
            <w:r>
              <w:rPr>
                <w:rFonts w:hint="eastAsia" w:ascii="黑体" w:hAnsi="黑体" w:eastAsia="黑体"/>
                <w:sz w:val="24"/>
              </w:rPr>
              <w:t>数量</w:t>
            </w:r>
          </w:p>
        </w:tc>
        <w:tc>
          <w:tcPr>
            <w:tcW w:w="1057" w:type="dxa"/>
            <w:tcBorders>
              <w:top w:val="single" w:color="000000" w:sz="4" w:space="0"/>
              <w:left w:val="nil"/>
              <w:bottom w:val="single" w:color="000000" w:sz="4" w:space="0"/>
              <w:right w:val="single" w:color="000000" w:sz="4" w:space="0"/>
            </w:tcBorders>
            <w:vAlign w:val="center"/>
          </w:tcPr>
          <w:p w14:paraId="47FDE586">
            <w:pPr>
              <w:jc w:val="center"/>
              <w:rPr>
                <w:rFonts w:ascii="黑体" w:hAnsi="黑体" w:eastAsia="黑体"/>
                <w:sz w:val="24"/>
              </w:rPr>
            </w:pPr>
            <w:r>
              <w:rPr>
                <w:rFonts w:hint="eastAsia" w:ascii="黑体" w:hAnsi="黑体" w:eastAsia="黑体"/>
                <w:sz w:val="24"/>
              </w:rPr>
              <w:t>单价（元）</w:t>
            </w:r>
          </w:p>
        </w:tc>
        <w:tc>
          <w:tcPr>
            <w:tcW w:w="1227" w:type="dxa"/>
            <w:tcBorders>
              <w:top w:val="single" w:color="000000" w:sz="4" w:space="0"/>
              <w:left w:val="nil"/>
              <w:bottom w:val="single" w:color="000000" w:sz="4" w:space="0"/>
              <w:right w:val="single" w:color="000000" w:sz="4" w:space="0"/>
            </w:tcBorders>
            <w:vAlign w:val="center"/>
          </w:tcPr>
          <w:p w14:paraId="7B6E7D40">
            <w:pPr>
              <w:jc w:val="center"/>
              <w:rPr>
                <w:rFonts w:ascii="黑体" w:hAnsi="黑体" w:eastAsia="黑体"/>
                <w:sz w:val="24"/>
              </w:rPr>
            </w:pPr>
            <w:r>
              <w:rPr>
                <w:rFonts w:hint="eastAsia" w:ascii="黑体" w:hAnsi="黑体" w:eastAsia="黑体"/>
                <w:sz w:val="24"/>
              </w:rPr>
              <w:t>总价（元）</w:t>
            </w:r>
          </w:p>
        </w:tc>
        <w:tc>
          <w:tcPr>
            <w:tcW w:w="6897" w:type="dxa"/>
            <w:tcBorders>
              <w:top w:val="single" w:color="000000" w:sz="4" w:space="0"/>
              <w:left w:val="nil"/>
              <w:bottom w:val="single" w:color="000000" w:sz="4" w:space="0"/>
              <w:right w:val="single" w:color="000000" w:sz="4" w:space="0"/>
            </w:tcBorders>
            <w:vAlign w:val="center"/>
          </w:tcPr>
          <w:p w14:paraId="2E267F09">
            <w:pPr>
              <w:rPr>
                <w:rFonts w:ascii="黑体" w:hAnsi="黑体" w:eastAsia="黑体"/>
                <w:sz w:val="24"/>
              </w:rPr>
            </w:pPr>
            <w:r>
              <w:rPr>
                <w:rFonts w:hint="eastAsia" w:ascii="黑体" w:hAnsi="黑体" w:eastAsia="黑体"/>
                <w:sz w:val="24"/>
              </w:rPr>
              <w:tab/>
            </w:r>
            <w:r>
              <w:rPr>
                <w:rFonts w:hint="eastAsia" w:ascii="黑体" w:hAnsi="黑体" w:eastAsia="黑体"/>
                <w:sz w:val="24"/>
              </w:rPr>
              <w:t>参考图片</w:t>
            </w:r>
          </w:p>
        </w:tc>
      </w:tr>
      <w:tr w14:paraId="3CF15270">
        <w:tblPrEx>
          <w:tblCellMar>
            <w:top w:w="0" w:type="dxa"/>
            <w:left w:w="108" w:type="dxa"/>
            <w:bottom w:w="0" w:type="dxa"/>
            <w:right w:w="108" w:type="dxa"/>
          </w:tblCellMar>
        </w:tblPrEx>
        <w:trPr>
          <w:trHeight w:val="3508"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558A93BB">
            <w:pPr>
              <w:widowControl/>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包1</w:t>
            </w:r>
          </w:p>
        </w:tc>
        <w:tc>
          <w:tcPr>
            <w:tcW w:w="915" w:type="dxa"/>
            <w:tcBorders>
              <w:top w:val="single" w:color="000000" w:sz="4" w:space="0"/>
              <w:left w:val="nil"/>
              <w:bottom w:val="single" w:color="000000" w:sz="4" w:space="0"/>
              <w:right w:val="single" w:color="000000" w:sz="4" w:space="0"/>
            </w:tcBorders>
            <w:vAlign w:val="center"/>
          </w:tcPr>
          <w:p w14:paraId="780AF5DC">
            <w:pPr>
              <w:widowControl/>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w:t>
            </w:r>
          </w:p>
        </w:tc>
        <w:tc>
          <w:tcPr>
            <w:tcW w:w="1608" w:type="dxa"/>
            <w:tcBorders>
              <w:top w:val="single" w:color="000000" w:sz="4" w:space="0"/>
              <w:left w:val="nil"/>
              <w:bottom w:val="single" w:color="000000" w:sz="4" w:space="0"/>
              <w:right w:val="single" w:color="000000" w:sz="4" w:space="0"/>
            </w:tcBorders>
            <w:vAlign w:val="center"/>
          </w:tcPr>
          <w:p w14:paraId="11C5FF0B">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办公桌</w:t>
            </w:r>
          </w:p>
        </w:tc>
        <w:tc>
          <w:tcPr>
            <w:tcW w:w="5783" w:type="dxa"/>
            <w:tcBorders>
              <w:top w:val="single" w:color="000000" w:sz="4" w:space="0"/>
              <w:left w:val="nil"/>
              <w:bottom w:val="single" w:color="000000" w:sz="4" w:space="0"/>
              <w:right w:val="single" w:color="000000" w:sz="4" w:space="0"/>
            </w:tcBorders>
            <w:vAlign w:val="center"/>
          </w:tcPr>
          <w:p w14:paraId="0982F33B">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规格：</w:t>
            </w:r>
            <w:r>
              <w:rPr>
                <w:rFonts w:asciiTheme="minorEastAsia" w:hAnsiTheme="minorEastAsia" w:eastAsiaTheme="minorEastAsia" w:cstheme="minorEastAsia"/>
                <w:szCs w:val="21"/>
              </w:rPr>
              <w:t>1500</w:t>
            </w:r>
            <w:r>
              <w:rPr>
                <w:rFonts w:hint="eastAsia" w:asciiTheme="minorEastAsia" w:hAnsiTheme="minorEastAsia" w:eastAsiaTheme="minorEastAsia" w:cstheme="minorEastAsia"/>
                <w:szCs w:val="21"/>
              </w:rPr>
              <w:t>W</w:t>
            </w:r>
            <w:r>
              <w:rPr>
                <w:rFonts w:asciiTheme="minorEastAsia" w:hAnsiTheme="minorEastAsia" w:eastAsiaTheme="minorEastAsia" w:cstheme="minorEastAsia"/>
                <w:szCs w:val="21"/>
              </w:rPr>
              <w:t>*700</w:t>
            </w:r>
            <w:r>
              <w:rPr>
                <w:rFonts w:hint="eastAsia" w:asciiTheme="minorEastAsia" w:hAnsiTheme="minorEastAsia" w:eastAsiaTheme="minorEastAsia" w:cstheme="minorEastAsia"/>
                <w:szCs w:val="21"/>
              </w:rPr>
              <w:t>D</w:t>
            </w:r>
            <w:r>
              <w:rPr>
                <w:rFonts w:asciiTheme="minorEastAsia" w:hAnsiTheme="minorEastAsia" w:eastAsiaTheme="minorEastAsia" w:cstheme="minorEastAsia"/>
                <w:szCs w:val="21"/>
              </w:rPr>
              <w:t>*760</w:t>
            </w:r>
            <w:r>
              <w:rPr>
                <w:rFonts w:hint="eastAsia" w:asciiTheme="minorEastAsia" w:hAnsiTheme="minorEastAsia" w:eastAsiaTheme="minorEastAsia" w:cstheme="minorEastAsia"/>
                <w:szCs w:val="21"/>
              </w:rPr>
              <w:t>H（</w:t>
            </w:r>
            <w:r>
              <w:rPr>
                <w:rFonts w:hint="eastAsia" w:ascii="宋体" w:hAnsi="宋体" w:cs="宋体"/>
                <w:szCs w:val="21"/>
              </w:rPr>
              <w:t>mm）</w:t>
            </w:r>
          </w:p>
          <w:p w14:paraId="77A882B3">
            <w:pPr>
              <w:pStyle w:val="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基材采用绿色环保E1级中密度板，木材含水率符合国家标准要求；面材采用三聚氰胺浸渍双饰面板，颜色可选，截面采用PVC封边条热熔防水处理；五金配件；台面、台脚厚=40mm，其它板厚=15mm。</w:t>
            </w:r>
          </w:p>
        </w:tc>
        <w:tc>
          <w:tcPr>
            <w:tcW w:w="800" w:type="dxa"/>
            <w:tcBorders>
              <w:top w:val="single" w:color="000000" w:sz="4" w:space="0"/>
              <w:left w:val="nil"/>
              <w:bottom w:val="single" w:color="000000" w:sz="4" w:space="0"/>
              <w:right w:val="single" w:color="000000" w:sz="4" w:space="0"/>
            </w:tcBorders>
            <w:vAlign w:val="center"/>
          </w:tcPr>
          <w:p w14:paraId="4DFE7C3A">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w:t>
            </w:r>
          </w:p>
        </w:tc>
        <w:tc>
          <w:tcPr>
            <w:tcW w:w="750" w:type="dxa"/>
            <w:tcBorders>
              <w:top w:val="single" w:color="000000" w:sz="4" w:space="0"/>
              <w:left w:val="nil"/>
              <w:bottom w:val="single" w:color="000000" w:sz="4" w:space="0"/>
              <w:right w:val="single" w:color="000000" w:sz="4" w:space="0"/>
            </w:tcBorders>
            <w:vAlign w:val="center"/>
          </w:tcPr>
          <w:p w14:paraId="4B297BC5">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12</w:t>
            </w:r>
          </w:p>
        </w:tc>
        <w:tc>
          <w:tcPr>
            <w:tcW w:w="1057" w:type="dxa"/>
            <w:tcBorders>
              <w:top w:val="single" w:color="000000" w:sz="4" w:space="0"/>
              <w:left w:val="nil"/>
              <w:bottom w:val="single" w:color="000000" w:sz="4" w:space="0"/>
              <w:right w:val="single" w:color="000000" w:sz="4" w:space="0"/>
            </w:tcBorders>
            <w:vAlign w:val="center"/>
          </w:tcPr>
          <w:p w14:paraId="0274B8DC">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1680</w:t>
            </w:r>
          </w:p>
        </w:tc>
        <w:tc>
          <w:tcPr>
            <w:tcW w:w="1227" w:type="dxa"/>
            <w:tcBorders>
              <w:top w:val="single" w:color="000000" w:sz="4" w:space="0"/>
              <w:left w:val="nil"/>
              <w:bottom w:val="single" w:color="000000" w:sz="4" w:space="0"/>
              <w:right w:val="single" w:color="000000" w:sz="4" w:space="0"/>
            </w:tcBorders>
            <w:vAlign w:val="center"/>
          </w:tcPr>
          <w:p w14:paraId="2286A40D">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20160</w:t>
            </w:r>
          </w:p>
        </w:tc>
        <w:tc>
          <w:tcPr>
            <w:tcW w:w="6897" w:type="dxa"/>
            <w:tcBorders>
              <w:top w:val="single" w:color="000000" w:sz="4" w:space="0"/>
              <w:left w:val="nil"/>
              <w:bottom w:val="single" w:color="000000" w:sz="4" w:space="0"/>
              <w:right w:val="single" w:color="000000" w:sz="4" w:space="0"/>
            </w:tcBorders>
            <w:vAlign w:val="center"/>
          </w:tcPr>
          <w:p w14:paraId="127509D1">
            <w:pPr>
              <w:jc w:val="center"/>
              <w:rPr>
                <w:rFonts w:ascii="黑体" w:hAnsi="黑体" w:eastAsia="黑体"/>
                <w:sz w:val="24"/>
              </w:rPr>
            </w:pPr>
            <w:r>
              <w:rPr>
                <w:rFonts w:ascii="Calibri" w:hAnsi="Calibri"/>
                <w:szCs w:val="21"/>
              </w:rPr>
              <w:drawing>
                <wp:inline distT="0" distB="0" distL="0" distR="0">
                  <wp:extent cx="3286125" cy="158115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cstate="print"/>
                          <a:stretch>
                            <a:fillRect/>
                          </a:stretch>
                        </pic:blipFill>
                        <pic:spPr>
                          <a:xfrm>
                            <a:off x="0" y="0"/>
                            <a:ext cx="3293269" cy="1584587"/>
                          </a:xfrm>
                          <a:prstGeom prst="rect">
                            <a:avLst/>
                          </a:prstGeom>
                          <a:noFill/>
                          <a:ln w="1">
                            <a:noFill/>
                          </a:ln>
                        </pic:spPr>
                      </pic:pic>
                    </a:graphicData>
                  </a:graphic>
                </wp:inline>
              </w:drawing>
            </w:r>
          </w:p>
        </w:tc>
      </w:tr>
      <w:tr w14:paraId="70A3CA1D">
        <w:tblPrEx>
          <w:tblCellMar>
            <w:top w:w="0" w:type="dxa"/>
            <w:left w:w="108" w:type="dxa"/>
            <w:bottom w:w="0" w:type="dxa"/>
            <w:right w:w="108" w:type="dxa"/>
          </w:tblCellMar>
        </w:tblPrEx>
        <w:trPr>
          <w:trHeight w:val="2744"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7468B874">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包1</w:t>
            </w:r>
          </w:p>
        </w:tc>
        <w:tc>
          <w:tcPr>
            <w:tcW w:w="915" w:type="dxa"/>
            <w:tcBorders>
              <w:top w:val="single" w:color="000000" w:sz="4" w:space="0"/>
              <w:left w:val="nil"/>
              <w:bottom w:val="single" w:color="000000" w:sz="4" w:space="0"/>
              <w:right w:val="single" w:color="000000" w:sz="4" w:space="0"/>
            </w:tcBorders>
            <w:vAlign w:val="center"/>
          </w:tcPr>
          <w:p w14:paraId="37C4CFBC">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w:t>
            </w:r>
          </w:p>
        </w:tc>
        <w:tc>
          <w:tcPr>
            <w:tcW w:w="1608" w:type="dxa"/>
            <w:tcBorders>
              <w:top w:val="single" w:color="000000" w:sz="4" w:space="0"/>
              <w:left w:val="nil"/>
              <w:bottom w:val="single" w:color="000000" w:sz="4" w:space="0"/>
              <w:right w:val="single" w:color="000000" w:sz="4" w:space="0"/>
            </w:tcBorders>
            <w:vAlign w:val="center"/>
          </w:tcPr>
          <w:p w14:paraId="1CD9CEA1">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屏风桌</w:t>
            </w:r>
          </w:p>
        </w:tc>
        <w:tc>
          <w:tcPr>
            <w:tcW w:w="5783" w:type="dxa"/>
            <w:tcBorders>
              <w:top w:val="single" w:color="000000" w:sz="4" w:space="0"/>
              <w:left w:val="nil"/>
              <w:bottom w:val="single" w:color="000000" w:sz="4" w:space="0"/>
              <w:right w:val="single" w:color="000000" w:sz="4" w:space="0"/>
            </w:tcBorders>
            <w:vAlign w:val="center"/>
          </w:tcPr>
          <w:p w14:paraId="60941A76">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规格：</w:t>
            </w:r>
            <w:r>
              <w:rPr>
                <w:rFonts w:asciiTheme="minorEastAsia" w:hAnsiTheme="minorEastAsia" w:eastAsiaTheme="minorEastAsia" w:cstheme="minorEastAsia"/>
                <w:szCs w:val="21"/>
              </w:rPr>
              <w:t>1500</w:t>
            </w:r>
            <w:r>
              <w:rPr>
                <w:rFonts w:hint="eastAsia" w:asciiTheme="minorEastAsia" w:hAnsiTheme="minorEastAsia" w:eastAsiaTheme="minorEastAsia" w:cstheme="minorEastAsia"/>
                <w:szCs w:val="21"/>
              </w:rPr>
              <w:t>W</w:t>
            </w:r>
            <w:r>
              <w:rPr>
                <w:rFonts w:asciiTheme="minorEastAsia" w:hAnsiTheme="minorEastAsia" w:eastAsiaTheme="minorEastAsia" w:cstheme="minorEastAsia"/>
                <w:szCs w:val="21"/>
              </w:rPr>
              <w:t>*1500</w:t>
            </w:r>
            <w:r>
              <w:rPr>
                <w:rFonts w:hint="eastAsia" w:asciiTheme="minorEastAsia" w:hAnsiTheme="minorEastAsia" w:eastAsiaTheme="minorEastAsia" w:cstheme="minorEastAsia"/>
                <w:szCs w:val="21"/>
              </w:rPr>
              <w:t>D</w:t>
            </w:r>
            <w:r>
              <w:rPr>
                <w:rFonts w:asciiTheme="minorEastAsia" w:hAnsiTheme="minorEastAsia" w:eastAsiaTheme="minorEastAsia" w:cstheme="minorEastAsia"/>
                <w:szCs w:val="21"/>
              </w:rPr>
              <w:t>*1100</w:t>
            </w:r>
            <w:r>
              <w:rPr>
                <w:rFonts w:hint="eastAsia" w:asciiTheme="minorEastAsia" w:hAnsiTheme="minorEastAsia" w:eastAsiaTheme="minorEastAsia" w:cstheme="minorEastAsia"/>
                <w:szCs w:val="21"/>
              </w:rPr>
              <w:t>H（mm</w:t>
            </w:r>
            <w:r>
              <w:rPr>
                <w:rFonts w:asciiTheme="minorEastAsia" w:hAnsiTheme="minorEastAsia" w:eastAsiaTheme="minorEastAsia" w:cstheme="minorEastAsia"/>
                <w:szCs w:val="21"/>
              </w:rPr>
              <w:t>）</w:t>
            </w:r>
          </w:p>
          <w:p w14:paraId="222612D8">
            <w:pPr>
              <w:pStyle w:val="2"/>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2"/>
                <w:sz w:val="21"/>
                <w:szCs w:val="21"/>
              </w:rPr>
              <w:t>屏风采用288#铝合金型材框架，壁厚1.2mm，屏风厚=28mm，表面静电喷涂处理，间色采用玻璃+饰面板；台面及柜体采用绿色环保三聚氰胺中密度纤维板，颜色可选，截面采用PVC封边条处理；五金配件；台面厚25mm，其它板厚=15mm</w:t>
            </w:r>
            <w:r>
              <w:rPr>
                <w:rFonts w:hint="eastAsia" w:asciiTheme="minorEastAsia" w:hAnsiTheme="minorEastAsia" w:eastAsiaTheme="minorEastAsia" w:cstheme="minorEastAsia"/>
                <w:color w:val="auto"/>
                <w:sz w:val="21"/>
                <w:szCs w:val="21"/>
              </w:rPr>
              <w:t>。</w:t>
            </w:r>
          </w:p>
        </w:tc>
        <w:tc>
          <w:tcPr>
            <w:tcW w:w="800" w:type="dxa"/>
            <w:tcBorders>
              <w:top w:val="single" w:color="000000" w:sz="4" w:space="0"/>
              <w:left w:val="nil"/>
              <w:bottom w:val="single" w:color="000000" w:sz="4" w:space="0"/>
              <w:right w:val="single" w:color="000000" w:sz="4" w:space="0"/>
            </w:tcBorders>
            <w:vAlign w:val="center"/>
          </w:tcPr>
          <w:p w14:paraId="4E0813B1">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位</w:t>
            </w:r>
          </w:p>
        </w:tc>
        <w:tc>
          <w:tcPr>
            <w:tcW w:w="750" w:type="dxa"/>
            <w:tcBorders>
              <w:top w:val="single" w:color="000000" w:sz="4" w:space="0"/>
              <w:left w:val="nil"/>
              <w:bottom w:val="single" w:color="000000" w:sz="4" w:space="0"/>
              <w:right w:val="single" w:color="000000" w:sz="4" w:space="0"/>
            </w:tcBorders>
            <w:vAlign w:val="center"/>
          </w:tcPr>
          <w:p w14:paraId="52B3838B">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8</w:t>
            </w:r>
          </w:p>
        </w:tc>
        <w:tc>
          <w:tcPr>
            <w:tcW w:w="1057" w:type="dxa"/>
            <w:tcBorders>
              <w:top w:val="single" w:color="000000" w:sz="4" w:space="0"/>
              <w:left w:val="nil"/>
              <w:bottom w:val="single" w:color="000000" w:sz="4" w:space="0"/>
              <w:right w:val="single" w:color="000000" w:sz="4" w:space="0"/>
            </w:tcBorders>
            <w:vAlign w:val="center"/>
          </w:tcPr>
          <w:p w14:paraId="29FFD59C">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1900</w:t>
            </w:r>
          </w:p>
        </w:tc>
        <w:tc>
          <w:tcPr>
            <w:tcW w:w="1227" w:type="dxa"/>
            <w:tcBorders>
              <w:top w:val="single" w:color="000000" w:sz="4" w:space="0"/>
              <w:left w:val="nil"/>
              <w:bottom w:val="single" w:color="000000" w:sz="4" w:space="0"/>
              <w:right w:val="single" w:color="000000" w:sz="4" w:space="0"/>
            </w:tcBorders>
            <w:vAlign w:val="center"/>
          </w:tcPr>
          <w:p w14:paraId="66F5CE3A">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15200</w:t>
            </w:r>
          </w:p>
        </w:tc>
        <w:tc>
          <w:tcPr>
            <w:tcW w:w="6897" w:type="dxa"/>
            <w:tcBorders>
              <w:top w:val="single" w:color="000000" w:sz="4" w:space="0"/>
              <w:left w:val="nil"/>
              <w:bottom w:val="single" w:color="000000" w:sz="4" w:space="0"/>
              <w:right w:val="single" w:color="000000" w:sz="4" w:space="0"/>
            </w:tcBorders>
            <w:vAlign w:val="center"/>
          </w:tcPr>
          <w:p w14:paraId="2DFAD2FA">
            <w:pPr>
              <w:jc w:val="center"/>
              <w:rPr>
                <w:rFonts w:ascii="Calibri" w:hAnsi="Calibri"/>
                <w:szCs w:val="21"/>
              </w:rPr>
            </w:pPr>
            <w:r>
              <w:rPr>
                <w:rFonts w:ascii="Calibri" w:hAnsi="Calibri"/>
                <w:szCs w:val="21"/>
              </w:rPr>
              <w:drawing>
                <wp:inline distT="0" distB="0" distL="0" distR="0">
                  <wp:extent cx="2495550" cy="130492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cstate="print"/>
                          <a:stretch>
                            <a:fillRect/>
                          </a:stretch>
                        </pic:blipFill>
                        <pic:spPr>
                          <a:xfrm>
                            <a:off x="0" y="0"/>
                            <a:ext cx="2499248" cy="1306859"/>
                          </a:xfrm>
                          <a:prstGeom prst="rect">
                            <a:avLst/>
                          </a:prstGeom>
                          <a:noFill/>
                          <a:ln w="1">
                            <a:noFill/>
                          </a:ln>
                        </pic:spPr>
                      </pic:pic>
                    </a:graphicData>
                  </a:graphic>
                </wp:inline>
              </w:drawing>
            </w:r>
          </w:p>
        </w:tc>
      </w:tr>
      <w:tr w14:paraId="165EA2B9">
        <w:tblPrEx>
          <w:tblCellMar>
            <w:top w:w="0" w:type="dxa"/>
            <w:left w:w="108" w:type="dxa"/>
            <w:bottom w:w="0" w:type="dxa"/>
            <w:right w:w="108" w:type="dxa"/>
          </w:tblCellMar>
        </w:tblPrEx>
        <w:trPr>
          <w:trHeight w:val="2259"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48AAF422">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包1</w:t>
            </w:r>
          </w:p>
        </w:tc>
        <w:tc>
          <w:tcPr>
            <w:tcW w:w="915" w:type="dxa"/>
            <w:tcBorders>
              <w:top w:val="single" w:color="000000" w:sz="4" w:space="0"/>
              <w:left w:val="nil"/>
              <w:bottom w:val="single" w:color="000000" w:sz="4" w:space="0"/>
              <w:right w:val="single" w:color="000000" w:sz="4" w:space="0"/>
            </w:tcBorders>
            <w:vAlign w:val="center"/>
          </w:tcPr>
          <w:p w14:paraId="10D1F8FC">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w:t>
            </w:r>
          </w:p>
        </w:tc>
        <w:tc>
          <w:tcPr>
            <w:tcW w:w="1608" w:type="dxa"/>
            <w:tcBorders>
              <w:top w:val="single" w:color="000000" w:sz="4" w:space="0"/>
              <w:left w:val="nil"/>
              <w:bottom w:val="single" w:color="000000" w:sz="4" w:space="0"/>
              <w:right w:val="single" w:color="000000" w:sz="4" w:space="0"/>
            </w:tcBorders>
            <w:vAlign w:val="center"/>
          </w:tcPr>
          <w:p w14:paraId="5C9382DD">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值班桌</w:t>
            </w:r>
          </w:p>
        </w:tc>
        <w:tc>
          <w:tcPr>
            <w:tcW w:w="5783" w:type="dxa"/>
            <w:tcBorders>
              <w:top w:val="single" w:color="000000" w:sz="4" w:space="0"/>
              <w:left w:val="nil"/>
              <w:bottom w:val="single" w:color="000000" w:sz="4" w:space="0"/>
              <w:right w:val="single" w:color="000000" w:sz="4" w:space="0"/>
            </w:tcBorders>
            <w:vAlign w:val="center"/>
          </w:tcPr>
          <w:p w14:paraId="7F8F8F53">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规格：</w:t>
            </w:r>
            <w:r>
              <w:rPr>
                <w:rFonts w:asciiTheme="minorEastAsia" w:hAnsiTheme="minorEastAsia" w:eastAsiaTheme="minorEastAsia" w:cstheme="minorEastAsia"/>
                <w:szCs w:val="21"/>
              </w:rPr>
              <w:t>11210</w:t>
            </w:r>
            <w:r>
              <w:rPr>
                <w:rFonts w:hint="eastAsia" w:asciiTheme="minorEastAsia" w:hAnsiTheme="minorEastAsia" w:eastAsiaTheme="minorEastAsia" w:cstheme="minorEastAsia"/>
                <w:szCs w:val="21"/>
              </w:rPr>
              <w:t>W</w:t>
            </w:r>
            <w:r>
              <w:rPr>
                <w:rFonts w:asciiTheme="minorEastAsia" w:hAnsiTheme="minorEastAsia" w:eastAsiaTheme="minorEastAsia" w:cstheme="minorEastAsia"/>
                <w:szCs w:val="21"/>
              </w:rPr>
              <w:t>*600</w:t>
            </w:r>
            <w:r>
              <w:rPr>
                <w:rFonts w:hint="eastAsia" w:asciiTheme="minorEastAsia" w:hAnsiTheme="minorEastAsia" w:eastAsiaTheme="minorEastAsia" w:cstheme="minorEastAsia"/>
                <w:szCs w:val="21"/>
              </w:rPr>
              <w:t>D</w:t>
            </w:r>
            <w:r>
              <w:rPr>
                <w:rFonts w:asciiTheme="minorEastAsia" w:hAnsiTheme="minorEastAsia" w:eastAsiaTheme="minorEastAsia" w:cstheme="minorEastAsia"/>
                <w:szCs w:val="21"/>
              </w:rPr>
              <w:t>*76</w:t>
            </w:r>
            <w:r>
              <w:rPr>
                <w:rFonts w:hint="eastAsia" w:asciiTheme="minorEastAsia" w:hAnsiTheme="minorEastAsia" w:eastAsiaTheme="minorEastAsia" w:cstheme="minorEastAsia"/>
                <w:szCs w:val="21"/>
              </w:rPr>
              <w:t>0H（mm</w:t>
            </w:r>
            <w:r>
              <w:rPr>
                <w:rFonts w:asciiTheme="minorEastAsia" w:hAnsiTheme="minorEastAsia" w:eastAsiaTheme="minorEastAsia" w:cstheme="minorEastAsia"/>
                <w:szCs w:val="21"/>
              </w:rPr>
              <w:t>）</w:t>
            </w:r>
          </w:p>
          <w:p w14:paraId="20281D02">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基材采用绿色环保E1级中密度板，木材含水率符合国家标准要求；面材采用三聚氰胺浸渍双饰面板，颜色可选，截面采用PVC封边条热熔防水处理；五金配件。台面厚25mm，其它板厚=15mm。</w:t>
            </w:r>
          </w:p>
        </w:tc>
        <w:tc>
          <w:tcPr>
            <w:tcW w:w="800" w:type="dxa"/>
            <w:tcBorders>
              <w:top w:val="single" w:color="000000" w:sz="4" w:space="0"/>
              <w:left w:val="nil"/>
              <w:bottom w:val="single" w:color="000000" w:sz="4" w:space="0"/>
              <w:right w:val="single" w:color="000000" w:sz="4" w:space="0"/>
            </w:tcBorders>
            <w:vAlign w:val="center"/>
          </w:tcPr>
          <w:p w14:paraId="69C79111">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米</w:t>
            </w:r>
          </w:p>
        </w:tc>
        <w:tc>
          <w:tcPr>
            <w:tcW w:w="750" w:type="dxa"/>
            <w:tcBorders>
              <w:top w:val="single" w:color="000000" w:sz="4" w:space="0"/>
              <w:left w:val="nil"/>
              <w:bottom w:val="single" w:color="000000" w:sz="4" w:space="0"/>
              <w:right w:val="single" w:color="000000" w:sz="4" w:space="0"/>
            </w:tcBorders>
            <w:vAlign w:val="center"/>
          </w:tcPr>
          <w:p w14:paraId="0F4A335D">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11.2</w:t>
            </w:r>
          </w:p>
        </w:tc>
        <w:tc>
          <w:tcPr>
            <w:tcW w:w="1057" w:type="dxa"/>
            <w:tcBorders>
              <w:top w:val="single" w:color="000000" w:sz="4" w:space="0"/>
              <w:left w:val="nil"/>
              <w:bottom w:val="single" w:color="000000" w:sz="4" w:space="0"/>
              <w:right w:val="single" w:color="000000" w:sz="4" w:space="0"/>
            </w:tcBorders>
            <w:vAlign w:val="center"/>
          </w:tcPr>
          <w:p w14:paraId="78A3FD77">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925</w:t>
            </w:r>
          </w:p>
        </w:tc>
        <w:tc>
          <w:tcPr>
            <w:tcW w:w="1227" w:type="dxa"/>
            <w:tcBorders>
              <w:top w:val="single" w:color="000000" w:sz="4" w:space="0"/>
              <w:left w:val="nil"/>
              <w:bottom w:val="single" w:color="000000" w:sz="4" w:space="0"/>
              <w:right w:val="single" w:color="000000" w:sz="4" w:space="0"/>
            </w:tcBorders>
            <w:vAlign w:val="center"/>
          </w:tcPr>
          <w:p w14:paraId="6D42DC27">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10360</w:t>
            </w:r>
          </w:p>
        </w:tc>
        <w:tc>
          <w:tcPr>
            <w:tcW w:w="6897" w:type="dxa"/>
            <w:tcBorders>
              <w:top w:val="single" w:color="000000" w:sz="4" w:space="0"/>
              <w:left w:val="nil"/>
              <w:bottom w:val="single" w:color="000000" w:sz="4" w:space="0"/>
              <w:right w:val="single" w:color="000000" w:sz="4" w:space="0"/>
            </w:tcBorders>
            <w:vAlign w:val="center"/>
          </w:tcPr>
          <w:p w14:paraId="686BD414">
            <w:pPr>
              <w:jc w:val="center"/>
              <w:rPr>
                <w:rFonts w:ascii="Calibri" w:hAnsi="Calibri"/>
                <w:szCs w:val="21"/>
              </w:rPr>
            </w:pPr>
            <w:r>
              <w:rPr>
                <w:rFonts w:ascii="Calibri" w:hAnsi="Calibri"/>
                <w:szCs w:val="21"/>
              </w:rPr>
              <w:drawing>
                <wp:inline distT="0" distB="0" distL="0" distR="0">
                  <wp:extent cx="2038350" cy="60960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stretch>
                            <a:fillRect/>
                          </a:stretch>
                        </pic:blipFill>
                        <pic:spPr>
                          <a:xfrm>
                            <a:off x="0" y="0"/>
                            <a:ext cx="2038350" cy="609600"/>
                          </a:xfrm>
                          <a:prstGeom prst="rect">
                            <a:avLst/>
                          </a:prstGeom>
                          <a:noFill/>
                          <a:ln w="1">
                            <a:noFill/>
                          </a:ln>
                        </pic:spPr>
                      </pic:pic>
                    </a:graphicData>
                  </a:graphic>
                </wp:inline>
              </w:drawing>
            </w:r>
            <w:r>
              <w:t xml:space="preserve"> </w:t>
            </w:r>
            <w:r>
              <w:rPr>
                <w:rFonts w:ascii="Calibri" w:hAnsi="Calibri"/>
                <w:szCs w:val="21"/>
              </w:rPr>
              <w:drawing>
                <wp:inline distT="0" distB="0" distL="0" distR="0">
                  <wp:extent cx="1533525" cy="59055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cstate="print"/>
                          <a:stretch>
                            <a:fillRect/>
                          </a:stretch>
                        </pic:blipFill>
                        <pic:spPr>
                          <a:xfrm>
                            <a:off x="0" y="0"/>
                            <a:ext cx="1534311" cy="590853"/>
                          </a:xfrm>
                          <a:prstGeom prst="rect">
                            <a:avLst/>
                          </a:prstGeom>
                          <a:noFill/>
                          <a:ln w="1">
                            <a:noFill/>
                          </a:ln>
                        </pic:spPr>
                      </pic:pic>
                    </a:graphicData>
                  </a:graphic>
                </wp:inline>
              </w:drawing>
            </w:r>
          </w:p>
        </w:tc>
      </w:tr>
      <w:tr w14:paraId="0FE1ACB5">
        <w:tblPrEx>
          <w:tblCellMar>
            <w:top w:w="0" w:type="dxa"/>
            <w:left w:w="108" w:type="dxa"/>
            <w:bottom w:w="0" w:type="dxa"/>
            <w:right w:w="108" w:type="dxa"/>
          </w:tblCellMar>
        </w:tblPrEx>
        <w:trPr>
          <w:trHeight w:val="4122"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3E2FF758">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包1</w:t>
            </w:r>
          </w:p>
        </w:tc>
        <w:tc>
          <w:tcPr>
            <w:tcW w:w="915" w:type="dxa"/>
            <w:tcBorders>
              <w:top w:val="single" w:color="000000" w:sz="4" w:space="0"/>
              <w:left w:val="nil"/>
              <w:bottom w:val="single" w:color="000000" w:sz="4" w:space="0"/>
              <w:right w:val="single" w:color="000000" w:sz="4" w:space="0"/>
            </w:tcBorders>
            <w:vAlign w:val="center"/>
          </w:tcPr>
          <w:p w14:paraId="729F94D8">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1-4</w:t>
            </w:r>
          </w:p>
        </w:tc>
        <w:tc>
          <w:tcPr>
            <w:tcW w:w="1608" w:type="dxa"/>
            <w:tcBorders>
              <w:top w:val="single" w:color="000000" w:sz="4" w:space="0"/>
              <w:left w:val="nil"/>
              <w:bottom w:val="single" w:color="000000" w:sz="4" w:space="0"/>
              <w:right w:val="single" w:color="000000" w:sz="4" w:space="0"/>
            </w:tcBorders>
            <w:vAlign w:val="center"/>
          </w:tcPr>
          <w:p w14:paraId="17D147EB">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咨询台</w:t>
            </w:r>
          </w:p>
        </w:tc>
        <w:tc>
          <w:tcPr>
            <w:tcW w:w="5783" w:type="dxa"/>
            <w:tcBorders>
              <w:top w:val="single" w:color="000000" w:sz="4" w:space="0"/>
              <w:left w:val="nil"/>
              <w:bottom w:val="single" w:color="000000" w:sz="4" w:space="0"/>
              <w:right w:val="single" w:color="000000" w:sz="4" w:space="0"/>
            </w:tcBorders>
            <w:vAlign w:val="center"/>
          </w:tcPr>
          <w:p w14:paraId="0B8A7324">
            <w:pPr>
              <w:pStyle w:val="2"/>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szCs w:val="21"/>
              </w:rPr>
              <w:t>规格：</w:t>
            </w:r>
            <w:r>
              <w:rPr>
                <w:rFonts w:asciiTheme="minorEastAsia" w:hAnsiTheme="minorEastAsia" w:eastAsiaTheme="minorEastAsia" w:cstheme="minorEastAsia"/>
                <w:color w:val="auto"/>
                <w:kern w:val="2"/>
                <w:sz w:val="21"/>
                <w:szCs w:val="21"/>
              </w:rPr>
              <w:t>1400</w:t>
            </w:r>
            <w:r>
              <w:rPr>
                <w:rFonts w:hint="eastAsia" w:asciiTheme="minorEastAsia" w:hAnsiTheme="minorEastAsia" w:eastAsiaTheme="minorEastAsia" w:cstheme="minorEastAsia"/>
                <w:color w:val="auto"/>
                <w:kern w:val="2"/>
                <w:sz w:val="21"/>
                <w:szCs w:val="21"/>
              </w:rPr>
              <w:t>W</w:t>
            </w:r>
            <w:r>
              <w:rPr>
                <w:rFonts w:asciiTheme="minorEastAsia" w:hAnsiTheme="minorEastAsia" w:eastAsiaTheme="minorEastAsia" w:cstheme="minorEastAsia"/>
                <w:color w:val="auto"/>
                <w:kern w:val="2"/>
                <w:sz w:val="21"/>
                <w:szCs w:val="21"/>
              </w:rPr>
              <w:t>*700</w:t>
            </w:r>
            <w:r>
              <w:rPr>
                <w:rFonts w:hint="eastAsia" w:asciiTheme="minorEastAsia" w:hAnsiTheme="minorEastAsia" w:eastAsiaTheme="minorEastAsia" w:cstheme="minorEastAsia"/>
                <w:color w:val="auto"/>
                <w:kern w:val="2"/>
                <w:sz w:val="21"/>
                <w:szCs w:val="21"/>
              </w:rPr>
              <w:t>D</w:t>
            </w:r>
            <w:r>
              <w:rPr>
                <w:rFonts w:asciiTheme="minorEastAsia" w:hAnsiTheme="minorEastAsia" w:eastAsiaTheme="minorEastAsia" w:cstheme="minorEastAsia"/>
                <w:color w:val="auto"/>
                <w:kern w:val="2"/>
                <w:sz w:val="21"/>
                <w:szCs w:val="21"/>
              </w:rPr>
              <w:t>*760</w:t>
            </w:r>
            <w:r>
              <w:rPr>
                <w:rFonts w:hint="eastAsia" w:asciiTheme="minorEastAsia" w:hAnsiTheme="minorEastAsia" w:eastAsiaTheme="minorEastAsia" w:cstheme="minorEastAsia"/>
                <w:color w:val="auto"/>
                <w:kern w:val="2"/>
                <w:sz w:val="21"/>
                <w:szCs w:val="21"/>
              </w:rPr>
              <w:t>H（mm</w:t>
            </w:r>
            <w:r>
              <w:rPr>
                <w:rFonts w:asciiTheme="minorEastAsia" w:hAnsiTheme="minorEastAsia" w:eastAsiaTheme="minorEastAsia" w:cstheme="minorEastAsia"/>
                <w:color w:val="auto"/>
                <w:kern w:val="2"/>
                <w:sz w:val="21"/>
                <w:szCs w:val="21"/>
              </w:rPr>
              <w:t>）</w:t>
            </w:r>
          </w:p>
          <w:p w14:paraId="2B9A4722">
            <w:pPr>
              <w:pStyle w:val="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基材采用绿色环保E1级中密度板，木材含水率符合国家标准要求；面材采用三聚氰胺浸渍双饰面板，颜色可选，截面采用PVC封边条热熔防水处理；五金配件；台面厚=40mm，其它板厚=15mm。</w:t>
            </w:r>
          </w:p>
        </w:tc>
        <w:tc>
          <w:tcPr>
            <w:tcW w:w="800" w:type="dxa"/>
            <w:tcBorders>
              <w:top w:val="single" w:color="000000" w:sz="4" w:space="0"/>
              <w:left w:val="nil"/>
              <w:bottom w:val="single" w:color="000000" w:sz="4" w:space="0"/>
              <w:right w:val="single" w:color="000000" w:sz="4" w:space="0"/>
            </w:tcBorders>
            <w:vAlign w:val="center"/>
          </w:tcPr>
          <w:p w14:paraId="386BBA5A">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w:t>
            </w:r>
          </w:p>
        </w:tc>
        <w:tc>
          <w:tcPr>
            <w:tcW w:w="750" w:type="dxa"/>
            <w:tcBorders>
              <w:top w:val="single" w:color="000000" w:sz="4" w:space="0"/>
              <w:left w:val="nil"/>
              <w:bottom w:val="single" w:color="000000" w:sz="4" w:space="0"/>
              <w:right w:val="single" w:color="000000" w:sz="4" w:space="0"/>
            </w:tcBorders>
            <w:vAlign w:val="center"/>
          </w:tcPr>
          <w:p w14:paraId="61108244">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w:t>
            </w:r>
          </w:p>
        </w:tc>
        <w:tc>
          <w:tcPr>
            <w:tcW w:w="1057" w:type="dxa"/>
            <w:tcBorders>
              <w:top w:val="single" w:color="000000" w:sz="4" w:space="0"/>
              <w:left w:val="nil"/>
              <w:bottom w:val="single" w:color="000000" w:sz="4" w:space="0"/>
              <w:right w:val="single" w:color="000000" w:sz="4" w:space="0"/>
            </w:tcBorders>
            <w:vAlign w:val="center"/>
          </w:tcPr>
          <w:p w14:paraId="5A22E9A9">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1360</w:t>
            </w:r>
          </w:p>
        </w:tc>
        <w:tc>
          <w:tcPr>
            <w:tcW w:w="1227" w:type="dxa"/>
            <w:tcBorders>
              <w:top w:val="single" w:color="000000" w:sz="4" w:space="0"/>
              <w:left w:val="nil"/>
              <w:bottom w:val="single" w:color="000000" w:sz="4" w:space="0"/>
              <w:right w:val="single" w:color="000000" w:sz="4" w:space="0"/>
            </w:tcBorders>
            <w:vAlign w:val="center"/>
          </w:tcPr>
          <w:p w14:paraId="3E275003">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1360</w:t>
            </w:r>
          </w:p>
        </w:tc>
        <w:tc>
          <w:tcPr>
            <w:tcW w:w="6897" w:type="dxa"/>
            <w:tcBorders>
              <w:top w:val="single" w:color="000000" w:sz="4" w:space="0"/>
              <w:left w:val="nil"/>
              <w:bottom w:val="single" w:color="000000" w:sz="4" w:space="0"/>
              <w:right w:val="single" w:color="000000" w:sz="4" w:space="0"/>
            </w:tcBorders>
            <w:vAlign w:val="center"/>
          </w:tcPr>
          <w:p w14:paraId="27516A00">
            <w:pPr>
              <w:jc w:val="center"/>
              <w:rPr>
                <w:rFonts w:ascii="Calibri" w:hAnsi="Calibri"/>
                <w:szCs w:val="21"/>
              </w:rPr>
            </w:pPr>
          </w:p>
          <w:p w14:paraId="228358BC">
            <w:pPr>
              <w:rPr>
                <w:rFonts w:ascii="Calibri" w:hAnsi="Calibri"/>
                <w:szCs w:val="21"/>
              </w:rPr>
            </w:pPr>
          </w:p>
          <w:p w14:paraId="008AD746">
            <w:pPr>
              <w:rPr>
                <w:rFonts w:ascii="Calibri" w:hAnsi="Calibri"/>
                <w:szCs w:val="21"/>
              </w:rPr>
            </w:pPr>
          </w:p>
          <w:p w14:paraId="589A7914">
            <w:pPr>
              <w:jc w:val="center"/>
              <w:rPr>
                <w:rFonts w:ascii="Calibri" w:hAnsi="Calibri"/>
                <w:szCs w:val="21"/>
              </w:rPr>
            </w:pPr>
            <w:r>
              <w:rPr>
                <w:rFonts w:ascii="Calibri" w:hAnsi="Calibri"/>
                <w:szCs w:val="21"/>
              </w:rPr>
              <w:drawing>
                <wp:inline distT="0" distB="0" distL="0" distR="0">
                  <wp:extent cx="1325245" cy="858520"/>
                  <wp:effectExtent l="1905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cstate="print"/>
                          <a:stretch>
                            <a:fillRect/>
                          </a:stretch>
                        </pic:blipFill>
                        <pic:spPr>
                          <a:xfrm>
                            <a:off x="0" y="0"/>
                            <a:ext cx="1325245" cy="858520"/>
                          </a:xfrm>
                          <a:prstGeom prst="rect">
                            <a:avLst/>
                          </a:prstGeom>
                          <a:noFill/>
                          <a:ln w="1">
                            <a:noFill/>
                          </a:ln>
                        </pic:spPr>
                      </pic:pic>
                    </a:graphicData>
                  </a:graphic>
                </wp:inline>
              </w:drawing>
            </w:r>
          </w:p>
        </w:tc>
      </w:tr>
      <w:tr w14:paraId="2E020D21">
        <w:tblPrEx>
          <w:tblCellMar>
            <w:top w:w="0" w:type="dxa"/>
            <w:left w:w="108" w:type="dxa"/>
            <w:bottom w:w="0" w:type="dxa"/>
            <w:right w:w="108" w:type="dxa"/>
          </w:tblCellMar>
        </w:tblPrEx>
        <w:trPr>
          <w:trHeight w:val="4564"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5B255A0B">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包1</w:t>
            </w:r>
          </w:p>
        </w:tc>
        <w:tc>
          <w:tcPr>
            <w:tcW w:w="915" w:type="dxa"/>
            <w:tcBorders>
              <w:top w:val="single" w:color="000000" w:sz="4" w:space="0"/>
              <w:left w:val="nil"/>
              <w:bottom w:val="single" w:color="000000" w:sz="4" w:space="0"/>
              <w:right w:val="single" w:color="000000" w:sz="4" w:space="0"/>
            </w:tcBorders>
            <w:vAlign w:val="center"/>
          </w:tcPr>
          <w:p w14:paraId="77D8276C">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1-5</w:t>
            </w:r>
          </w:p>
        </w:tc>
        <w:tc>
          <w:tcPr>
            <w:tcW w:w="1608" w:type="dxa"/>
            <w:tcBorders>
              <w:top w:val="single" w:color="000000" w:sz="4" w:space="0"/>
              <w:left w:val="nil"/>
              <w:bottom w:val="single" w:color="000000" w:sz="4" w:space="0"/>
              <w:right w:val="single" w:color="000000" w:sz="4" w:space="0"/>
            </w:tcBorders>
            <w:vAlign w:val="center"/>
          </w:tcPr>
          <w:p w14:paraId="270F016F">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咨询台</w:t>
            </w:r>
          </w:p>
        </w:tc>
        <w:tc>
          <w:tcPr>
            <w:tcW w:w="5783" w:type="dxa"/>
            <w:tcBorders>
              <w:top w:val="single" w:color="000000" w:sz="4" w:space="0"/>
              <w:left w:val="nil"/>
              <w:bottom w:val="single" w:color="000000" w:sz="4" w:space="0"/>
              <w:right w:val="single" w:color="000000" w:sz="4" w:space="0"/>
            </w:tcBorders>
            <w:vAlign w:val="center"/>
          </w:tcPr>
          <w:p w14:paraId="3C9A3FBF">
            <w:pPr>
              <w:pStyle w:val="2"/>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szCs w:val="21"/>
              </w:rPr>
              <w:t>规格：</w:t>
            </w:r>
            <w:r>
              <w:rPr>
                <w:rFonts w:asciiTheme="minorEastAsia" w:hAnsiTheme="minorEastAsia" w:eastAsiaTheme="minorEastAsia" w:cstheme="minorEastAsia"/>
                <w:color w:val="auto"/>
                <w:kern w:val="2"/>
                <w:sz w:val="21"/>
                <w:szCs w:val="21"/>
              </w:rPr>
              <w:t>1</w:t>
            </w:r>
            <w:r>
              <w:rPr>
                <w:rFonts w:hint="eastAsia" w:asciiTheme="minorEastAsia" w:hAnsiTheme="minorEastAsia" w:eastAsiaTheme="minorEastAsia" w:cstheme="minorEastAsia"/>
                <w:color w:val="auto"/>
                <w:kern w:val="2"/>
                <w:sz w:val="21"/>
                <w:szCs w:val="21"/>
              </w:rPr>
              <w:t>6</w:t>
            </w:r>
            <w:r>
              <w:rPr>
                <w:rFonts w:asciiTheme="minorEastAsia" w:hAnsiTheme="minorEastAsia" w:eastAsiaTheme="minorEastAsia" w:cstheme="minorEastAsia"/>
                <w:color w:val="auto"/>
                <w:kern w:val="2"/>
                <w:sz w:val="21"/>
                <w:szCs w:val="21"/>
              </w:rPr>
              <w:t>00</w:t>
            </w:r>
            <w:r>
              <w:rPr>
                <w:rFonts w:hint="eastAsia" w:asciiTheme="minorEastAsia" w:hAnsiTheme="minorEastAsia" w:eastAsiaTheme="minorEastAsia" w:cstheme="minorEastAsia"/>
                <w:color w:val="auto"/>
                <w:kern w:val="2"/>
                <w:sz w:val="21"/>
                <w:szCs w:val="21"/>
              </w:rPr>
              <w:t>W</w:t>
            </w:r>
            <w:r>
              <w:rPr>
                <w:rFonts w:asciiTheme="minorEastAsia" w:hAnsiTheme="minorEastAsia" w:eastAsiaTheme="minorEastAsia" w:cstheme="minorEastAsia"/>
                <w:color w:val="auto"/>
                <w:kern w:val="2"/>
                <w:sz w:val="21"/>
                <w:szCs w:val="21"/>
              </w:rPr>
              <w:t>*700</w:t>
            </w:r>
            <w:r>
              <w:rPr>
                <w:rFonts w:hint="eastAsia" w:asciiTheme="minorEastAsia" w:hAnsiTheme="minorEastAsia" w:eastAsiaTheme="minorEastAsia" w:cstheme="minorEastAsia"/>
                <w:color w:val="auto"/>
                <w:kern w:val="2"/>
                <w:sz w:val="21"/>
                <w:szCs w:val="21"/>
              </w:rPr>
              <w:t>D</w:t>
            </w:r>
            <w:r>
              <w:rPr>
                <w:rFonts w:asciiTheme="minorEastAsia" w:hAnsiTheme="minorEastAsia" w:eastAsiaTheme="minorEastAsia" w:cstheme="minorEastAsia"/>
                <w:color w:val="auto"/>
                <w:kern w:val="2"/>
                <w:sz w:val="21"/>
                <w:szCs w:val="21"/>
              </w:rPr>
              <w:t>*760</w:t>
            </w:r>
            <w:r>
              <w:rPr>
                <w:rFonts w:hint="eastAsia" w:asciiTheme="minorEastAsia" w:hAnsiTheme="minorEastAsia" w:eastAsiaTheme="minorEastAsia" w:cstheme="minorEastAsia"/>
                <w:color w:val="auto"/>
                <w:kern w:val="2"/>
                <w:sz w:val="21"/>
                <w:szCs w:val="21"/>
              </w:rPr>
              <w:t>H（mm</w:t>
            </w:r>
            <w:r>
              <w:rPr>
                <w:rFonts w:asciiTheme="minorEastAsia" w:hAnsiTheme="minorEastAsia" w:eastAsiaTheme="minorEastAsia" w:cstheme="minorEastAsia"/>
                <w:color w:val="auto"/>
                <w:kern w:val="2"/>
                <w:sz w:val="21"/>
                <w:szCs w:val="21"/>
              </w:rPr>
              <w:t>）</w:t>
            </w:r>
          </w:p>
          <w:p w14:paraId="44952CF3">
            <w:pPr>
              <w:pStyle w:val="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基材采用绿色环保E1级中密度板，木材含水率符合国家标准要求；面材采用三聚氰胺浸渍双饰面板，颜色可选，截面采用PVC封边条热熔防水处理；五金配件；台面厚=40mm，其它板厚=15mm。</w:t>
            </w:r>
          </w:p>
        </w:tc>
        <w:tc>
          <w:tcPr>
            <w:tcW w:w="800" w:type="dxa"/>
            <w:tcBorders>
              <w:top w:val="single" w:color="000000" w:sz="4" w:space="0"/>
              <w:left w:val="nil"/>
              <w:bottom w:val="single" w:color="000000" w:sz="4" w:space="0"/>
              <w:right w:val="single" w:color="000000" w:sz="4" w:space="0"/>
            </w:tcBorders>
            <w:vAlign w:val="center"/>
          </w:tcPr>
          <w:p w14:paraId="467CFBB8">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w:t>
            </w:r>
          </w:p>
        </w:tc>
        <w:tc>
          <w:tcPr>
            <w:tcW w:w="750" w:type="dxa"/>
            <w:tcBorders>
              <w:top w:val="single" w:color="000000" w:sz="4" w:space="0"/>
              <w:left w:val="nil"/>
              <w:bottom w:val="single" w:color="000000" w:sz="4" w:space="0"/>
              <w:right w:val="single" w:color="000000" w:sz="4" w:space="0"/>
            </w:tcBorders>
            <w:vAlign w:val="center"/>
          </w:tcPr>
          <w:p w14:paraId="6DF6B2FA">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4</w:t>
            </w:r>
          </w:p>
        </w:tc>
        <w:tc>
          <w:tcPr>
            <w:tcW w:w="1057" w:type="dxa"/>
            <w:tcBorders>
              <w:top w:val="single" w:color="000000" w:sz="4" w:space="0"/>
              <w:left w:val="nil"/>
              <w:bottom w:val="single" w:color="000000" w:sz="4" w:space="0"/>
              <w:right w:val="single" w:color="000000" w:sz="4" w:space="0"/>
            </w:tcBorders>
            <w:vAlign w:val="center"/>
          </w:tcPr>
          <w:p w14:paraId="315D1B92">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1480</w:t>
            </w:r>
          </w:p>
        </w:tc>
        <w:tc>
          <w:tcPr>
            <w:tcW w:w="1227" w:type="dxa"/>
            <w:tcBorders>
              <w:top w:val="single" w:color="000000" w:sz="4" w:space="0"/>
              <w:left w:val="nil"/>
              <w:bottom w:val="single" w:color="000000" w:sz="4" w:space="0"/>
              <w:right w:val="single" w:color="000000" w:sz="4" w:space="0"/>
            </w:tcBorders>
            <w:vAlign w:val="center"/>
          </w:tcPr>
          <w:p w14:paraId="235D9B43">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5920</w:t>
            </w:r>
          </w:p>
        </w:tc>
        <w:tc>
          <w:tcPr>
            <w:tcW w:w="6897" w:type="dxa"/>
            <w:tcBorders>
              <w:top w:val="single" w:color="000000" w:sz="4" w:space="0"/>
              <w:left w:val="nil"/>
              <w:bottom w:val="single" w:color="000000" w:sz="4" w:space="0"/>
              <w:right w:val="single" w:color="000000" w:sz="4" w:space="0"/>
            </w:tcBorders>
            <w:vAlign w:val="center"/>
          </w:tcPr>
          <w:p w14:paraId="1EC03BC5">
            <w:pPr>
              <w:jc w:val="center"/>
              <w:rPr>
                <w:rFonts w:ascii="Calibri" w:hAnsi="Calibri"/>
                <w:szCs w:val="21"/>
              </w:rPr>
            </w:pPr>
          </w:p>
          <w:p w14:paraId="338FAE85">
            <w:pPr>
              <w:rPr>
                <w:rFonts w:ascii="Calibri" w:hAnsi="Calibri"/>
                <w:szCs w:val="21"/>
              </w:rPr>
            </w:pPr>
          </w:p>
          <w:p w14:paraId="77BFD5A4">
            <w:pPr>
              <w:rPr>
                <w:rFonts w:ascii="Calibri" w:hAnsi="Calibri"/>
                <w:szCs w:val="21"/>
              </w:rPr>
            </w:pPr>
          </w:p>
          <w:p w14:paraId="00E17897">
            <w:pPr>
              <w:jc w:val="center"/>
              <w:rPr>
                <w:rFonts w:ascii="Calibri" w:hAnsi="Calibri"/>
                <w:szCs w:val="21"/>
              </w:rPr>
            </w:pPr>
            <w:r>
              <w:rPr>
                <w:rFonts w:ascii="Calibri" w:hAnsi="Calibri"/>
                <w:szCs w:val="21"/>
              </w:rPr>
              <w:drawing>
                <wp:inline distT="0" distB="0" distL="0" distR="0">
                  <wp:extent cx="1325245" cy="858520"/>
                  <wp:effectExtent l="19050" t="0" r="8255"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6" cstate="print"/>
                          <a:stretch>
                            <a:fillRect/>
                          </a:stretch>
                        </pic:blipFill>
                        <pic:spPr>
                          <a:xfrm>
                            <a:off x="0" y="0"/>
                            <a:ext cx="1325245" cy="858520"/>
                          </a:xfrm>
                          <a:prstGeom prst="rect">
                            <a:avLst/>
                          </a:prstGeom>
                          <a:noFill/>
                          <a:ln w="1">
                            <a:noFill/>
                          </a:ln>
                        </pic:spPr>
                      </pic:pic>
                    </a:graphicData>
                  </a:graphic>
                </wp:inline>
              </w:drawing>
            </w:r>
          </w:p>
        </w:tc>
      </w:tr>
      <w:tr w14:paraId="6B78F8A0">
        <w:tblPrEx>
          <w:tblCellMar>
            <w:top w:w="0" w:type="dxa"/>
            <w:left w:w="108" w:type="dxa"/>
            <w:bottom w:w="0" w:type="dxa"/>
            <w:right w:w="108" w:type="dxa"/>
          </w:tblCellMar>
        </w:tblPrEx>
        <w:trPr>
          <w:trHeight w:val="4082"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6A2CFA1E">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包1</w:t>
            </w:r>
          </w:p>
        </w:tc>
        <w:tc>
          <w:tcPr>
            <w:tcW w:w="915" w:type="dxa"/>
            <w:tcBorders>
              <w:top w:val="single" w:color="000000" w:sz="4" w:space="0"/>
              <w:left w:val="nil"/>
              <w:bottom w:val="single" w:color="000000" w:sz="4" w:space="0"/>
              <w:right w:val="single" w:color="000000" w:sz="4" w:space="0"/>
            </w:tcBorders>
            <w:vAlign w:val="center"/>
          </w:tcPr>
          <w:p w14:paraId="164D8515">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1-6</w:t>
            </w:r>
          </w:p>
        </w:tc>
        <w:tc>
          <w:tcPr>
            <w:tcW w:w="1608" w:type="dxa"/>
            <w:tcBorders>
              <w:top w:val="single" w:color="000000" w:sz="4" w:space="0"/>
              <w:left w:val="nil"/>
              <w:bottom w:val="single" w:color="000000" w:sz="4" w:space="0"/>
              <w:right w:val="single" w:color="000000" w:sz="4" w:space="0"/>
            </w:tcBorders>
            <w:vAlign w:val="center"/>
          </w:tcPr>
          <w:p w14:paraId="4461B8F5">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手工桌</w:t>
            </w:r>
          </w:p>
        </w:tc>
        <w:tc>
          <w:tcPr>
            <w:tcW w:w="5783" w:type="dxa"/>
            <w:tcBorders>
              <w:top w:val="single" w:color="000000" w:sz="4" w:space="0"/>
              <w:left w:val="nil"/>
              <w:bottom w:val="single" w:color="000000" w:sz="4" w:space="0"/>
              <w:right w:val="single" w:color="000000" w:sz="4" w:space="0"/>
            </w:tcBorders>
            <w:vAlign w:val="center"/>
          </w:tcPr>
          <w:p w14:paraId="6A813078">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规格：</w:t>
            </w:r>
            <w:r>
              <w:rPr>
                <w:rFonts w:asciiTheme="minorEastAsia" w:hAnsiTheme="minorEastAsia" w:eastAsiaTheme="minorEastAsia" w:cstheme="minorEastAsia"/>
                <w:szCs w:val="21"/>
              </w:rPr>
              <w:t>1600</w:t>
            </w:r>
            <w:r>
              <w:rPr>
                <w:rFonts w:hint="eastAsia" w:asciiTheme="minorEastAsia" w:hAnsiTheme="minorEastAsia" w:eastAsiaTheme="minorEastAsia" w:cstheme="minorEastAsia"/>
                <w:szCs w:val="21"/>
              </w:rPr>
              <w:t>W</w:t>
            </w:r>
            <w:r>
              <w:rPr>
                <w:rFonts w:asciiTheme="minorEastAsia" w:hAnsiTheme="minorEastAsia" w:eastAsiaTheme="minorEastAsia" w:cstheme="minorEastAsia"/>
                <w:szCs w:val="21"/>
              </w:rPr>
              <w:t>*900</w:t>
            </w:r>
            <w:r>
              <w:rPr>
                <w:rFonts w:hint="eastAsia" w:asciiTheme="minorEastAsia" w:hAnsiTheme="minorEastAsia" w:eastAsiaTheme="minorEastAsia" w:cstheme="minorEastAsia"/>
                <w:szCs w:val="21"/>
              </w:rPr>
              <w:t>D</w:t>
            </w:r>
            <w:r>
              <w:rPr>
                <w:rFonts w:asciiTheme="minorEastAsia" w:hAnsiTheme="minorEastAsia" w:eastAsiaTheme="minorEastAsia" w:cstheme="minorEastAsia"/>
                <w:szCs w:val="21"/>
              </w:rPr>
              <w:t>*760</w:t>
            </w:r>
            <w:r>
              <w:rPr>
                <w:rFonts w:hint="eastAsia" w:asciiTheme="minorEastAsia" w:hAnsiTheme="minorEastAsia" w:eastAsiaTheme="minorEastAsia" w:cstheme="minorEastAsia"/>
                <w:szCs w:val="21"/>
              </w:rPr>
              <w:t>H（mm</w:t>
            </w:r>
            <w:r>
              <w:rPr>
                <w:rFonts w:asciiTheme="minorEastAsia" w:hAnsiTheme="minorEastAsia" w:eastAsiaTheme="minorEastAsia" w:cstheme="minorEastAsia"/>
                <w:szCs w:val="21"/>
              </w:rPr>
              <w:t>）</w:t>
            </w:r>
          </w:p>
          <w:p w14:paraId="463D27B5">
            <w:pPr>
              <w:pStyle w:val="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基材采用绿色环保E1级中密度板，木材含水率符合国家标准要求；面材采用三聚氰胺浸渍双饰面板，颜色可选，截面采用PVC封边条热熔防水处理；喷涂钢支架；台面厚25mm。</w:t>
            </w:r>
          </w:p>
          <w:p w14:paraId="4B6B3BF2">
            <w:pPr>
              <w:pStyle w:val="2"/>
              <w:rPr>
                <w:rFonts w:asciiTheme="minorEastAsia" w:hAnsiTheme="minorEastAsia" w:eastAsiaTheme="minorEastAsia" w:cstheme="minorEastAsia"/>
                <w:color w:val="auto"/>
                <w:sz w:val="21"/>
                <w:szCs w:val="21"/>
              </w:rPr>
            </w:pPr>
          </w:p>
        </w:tc>
        <w:tc>
          <w:tcPr>
            <w:tcW w:w="800" w:type="dxa"/>
            <w:tcBorders>
              <w:top w:val="single" w:color="000000" w:sz="4" w:space="0"/>
              <w:left w:val="nil"/>
              <w:bottom w:val="single" w:color="000000" w:sz="4" w:space="0"/>
              <w:right w:val="single" w:color="000000" w:sz="4" w:space="0"/>
            </w:tcBorders>
            <w:vAlign w:val="center"/>
          </w:tcPr>
          <w:p w14:paraId="37D82FE4">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w:t>
            </w:r>
          </w:p>
        </w:tc>
        <w:tc>
          <w:tcPr>
            <w:tcW w:w="750" w:type="dxa"/>
            <w:tcBorders>
              <w:top w:val="single" w:color="000000" w:sz="4" w:space="0"/>
              <w:left w:val="nil"/>
              <w:bottom w:val="single" w:color="000000" w:sz="4" w:space="0"/>
              <w:right w:val="single" w:color="000000" w:sz="4" w:space="0"/>
            </w:tcBorders>
            <w:vAlign w:val="center"/>
          </w:tcPr>
          <w:p w14:paraId="4D0E513D">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2</w:t>
            </w:r>
          </w:p>
        </w:tc>
        <w:tc>
          <w:tcPr>
            <w:tcW w:w="1057" w:type="dxa"/>
            <w:tcBorders>
              <w:top w:val="single" w:color="000000" w:sz="4" w:space="0"/>
              <w:left w:val="nil"/>
              <w:bottom w:val="single" w:color="000000" w:sz="4" w:space="0"/>
              <w:right w:val="single" w:color="000000" w:sz="4" w:space="0"/>
            </w:tcBorders>
            <w:vAlign w:val="center"/>
          </w:tcPr>
          <w:p w14:paraId="10B6C2D4">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1300</w:t>
            </w:r>
          </w:p>
        </w:tc>
        <w:tc>
          <w:tcPr>
            <w:tcW w:w="1227" w:type="dxa"/>
            <w:tcBorders>
              <w:top w:val="single" w:color="000000" w:sz="4" w:space="0"/>
              <w:left w:val="nil"/>
              <w:bottom w:val="single" w:color="000000" w:sz="4" w:space="0"/>
              <w:right w:val="single" w:color="000000" w:sz="4" w:space="0"/>
            </w:tcBorders>
            <w:vAlign w:val="center"/>
          </w:tcPr>
          <w:p w14:paraId="4A345494">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2600</w:t>
            </w:r>
          </w:p>
        </w:tc>
        <w:tc>
          <w:tcPr>
            <w:tcW w:w="6897" w:type="dxa"/>
            <w:tcBorders>
              <w:top w:val="single" w:color="000000" w:sz="4" w:space="0"/>
              <w:left w:val="nil"/>
              <w:bottom w:val="single" w:color="000000" w:sz="4" w:space="0"/>
              <w:right w:val="single" w:color="000000" w:sz="4" w:space="0"/>
            </w:tcBorders>
            <w:vAlign w:val="center"/>
          </w:tcPr>
          <w:p w14:paraId="5BC8FDAF">
            <w:pPr>
              <w:jc w:val="center"/>
              <w:rPr>
                <w:rFonts w:ascii="黑体" w:hAnsi="黑体" w:eastAsia="黑体"/>
                <w:sz w:val="24"/>
              </w:rPr>
            </w:pPr>
            <w:r>
              <w:rPr>
                <w:rFonts w:ascii="Calibri" w:hAnsi="Calibri"/>
                <w:szCs w:val="21"/>
              </w:rPr>
              <w:drawing>
                <wp:inline distT="0" distB="0" distL="0" distR="0">
                  <wp:extent cx="1304925" cy="858520"/>
                  <wp:effectExtent l="19050" t="0" r="9525"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7" cstate="print"/>
                          <a:stretch>
                            <a:fillRect/>
                          </a:stretch>
                        </pic:blipFill>
                        <pic:spPr>
                          <a:xfrm>
                            <a:off x="0" y="0"/>
                            <a:ext cx="1304925" cy="858520"/>
                          </a:xfrm>
                          <a:prstGeom prst="rect">
                            <a:avLst/>
                          </a:prstGeom>
                          <a:noFill/>
                          <a:ln w="1">
                            <a:noFill/>
                          </a:ln>
                        </pic:spPr>
                      </pic:pic>
                    </a:graphicData>
                  </a:graphic>
                </wp:inline>
              </w:drawing>
            </w:r>
          </w:p>
        </w:tc>
      </w:tr>
      <w:tr w14:paraId="4AD51BD3">
        <w:tblPrEx>
          <w:tblCellMar>
            <w:top w:w="0" w:type="dxa"/>
            <w:left w:w="108" w:type="dxa"/>
            <w:bottom w:w="0" w:type="dxa"/>
            <w:right w:w="108" w:type="dxa"/>
          </w:tblCellMar>
        </w:tblPrEx>
        <w:trPr>
          <w:trHeight w:val="4082"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095E6BFD">
            <w:pPr>
              <w:pStyle w:val="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包1</w:t>
            </w:r>
          </w:p>
        </w:tc>
        <w:tc>
          <w:tcPr>
            <w:tcW w:w="915" w:type="dxa"/>
            <w:tcBorders>
              <w:top w:val="single" w:color="000000" w:sz="4" w:space="0"/>
              <w:left w:val="nil"/>
              <w:bottom w:val="single" w:color="000000" w:sz="4" w:space="0"/>
              <w:right w:val="single" w:color="000000" w:sz="4" w:space="0"/>
            </w:tcBorders>
            <w:vAlign w:val="center"/>
          </w:tcPr>
          <w:p w14:paraId="4BFCB436">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1-7</w:t>
            </w:r>
          </w:p>
        </w:tc>
        <w:tc>
          <w:tcPr>
            <w:tcW w:w="1608" w:type="dxa"/>
            <w:tcBorders>
              <w:top w:val="single" w:color="000000" w:sz="4" w:space="0"/>
              <w:left w:val="nil"/>
              <w:bottom w:val="single" w:color="000000" w:sz="4" w:space="0"/>
              <w:right w:val="single" w:color="000000" w:sz="4" w:space="0"/>
            </w:tcBorders>
            <w:vAlign w:val="center"/>
          </w:tcPr>
          <w:p w14:paraId="49B7AD0E">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手工桌</w:t>
            </w:r>
          </w:p>
        </w:tc>
        <w:tc>
          <w:tcPr>
            <w:tcW w:w="5783" w:type="dxa"/>
            <w:tcBorders>
              <w:top w:val="single" w:color="000000" w:sz="4" w:space="0"/>
              <w:left w:val="nil"/>
              <w:bottom w:val="single" w:color="000000" w:sz="4" w:space="0"/>
              <w:right w:val="single" w:color="000000" w:sz="4" w:space="0"/>
            </w:tcBorders>
            <w:vAlign w:val="center"/>
          </w:tcPr>
          <w:p w14:paraId="6A5A442C">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规格：24</w:t>
            </w:r>
            <w:r>
              <w:rPr>
                <w:rFonts w:asciiTheme="minorEastAsia" w:hAnsiTheme="minorEastAsia" w:eastAsiaTheme="minorEastAsia" w:cstheme="minorEastAsia"/>
                <w:szCs w:val="21"/>
              </w:rPr>
              <w:t>00</w:t>
            </w:r>
            <w:r>
              <w:rPr>
                <w:rFonts w:hint="eastAsia" w:asciiTheme="minorEastAsia" w:hAnsiTheme="minorEastAsia" w:eastAsiaTheme="minorEastAsia" w:cstheme="minorEastAsia"/>
                <w:szCs w:val="21"/>
              </w:rPr>
              <w:t>W</w:t>
            </w:r>
            <w:r>
              <w:rPr>
                <w:rFonts w:asciiTheme="minorEastAsia" w:hAnsiTheme="minorEastAsia" w:eastAsiaTheme="minorEastAsia" w:cstheme="minorEastAsia"/>
                <w:szCs w:val="21"/>
              </w:rPr>
              <w:t>*900</w:t>
            </w:r>
            <w:r>
              <w:rPr>
                <w:rFonts w:hint="eastAsia" w:asciiTheme="minorEastAsia" w:hAnsiTheme="minorEastAsia" w:eastAsiaTheme="minorEastAsia" w:cstheme="minorEastAsia"/>
                <w:szCs w:val="21"/>
              </w:rPr>
              <w:t>D</w:t>
            </w:r>
            <w:r>
              <w:rPr>
                <w:rFonts w:asciiTheme="minorEastAsia" w:hAnsiTheme="minorEastAsia" w:eastAsiaTheme="minorEastAsia" w:cstheme="minorEastAsia"/>
                <w:szCs w:val="21"/>
              </w:rPr>
              <w:t>*760</w:t>
            </w:r>
            <w:r>
              <w:rPr>
                <w:rFonts w:hint="eastAsia" w:asciiTheme="minorEastAsia" w:hAnsiTheme="minorEastAsia" w:eastAsiaTheme="minorEastAsia" w:cstheme="minorEastAsia"/>
                <w:szCs w:val="21"/>
              </w:rPr>
              <w:t>H（mm</w:t>
            </w:r>
            <w:r>
              <w:rPr>
                <w:rFonts w:asciiTheme="minorEastAsia" w:hAnsiTheme="minorEastAsia" w:eastAsiaTheme="minorEastAsia" w:cstheme="minorEastAsia"/>
                <w:szCs w:val="21"/>
              </w:rPr>
              <w:t>）</w:t>
            </w:r>
          </w:p>
          <w:p w14:paraId="2F924368">
            <w:pPr>
              <w:pStyle w:val="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基材采用绿色环保E1级中密度板，木材含水率符合国家标准要求；面材采用三聚氰胺浸渍双饰面板，颜色可选，截面采用PVC封边条热熔防水处理；喷涂钢支架；台面厚25mm。</w:t>
            </w:r>
          </w:p>
          <w:p w14:paraId="6C4DC594">
            <w:pPr>
              <w:pStyle w:val="2"/>
              <w:rPr>
                <w:rFonts w:asciiTheme="minorEastAsia" w:hAnsiTheme="minorEastAsia" w:eastAsiaTheme="minorEastAsia" w:cstheme="minorEastAsia"/>
                <w:color w:val="auto"/>
                <w:sz w:val="21"/>
                <w:szCs w:val="21"/>
              </w:rPr>
            </w:pPr>
          </w:p>
        </w:tc>
        <w:tc>
          <w:tcPr>
            <w:tcW w:w="800" w:type="dxa"/>
            <w:tcBorders>
              <w:top w:val="single" w:color="000000" w:sz="4" w:space="0"/>
              <w:left w:val="nil"/>
              <w:bottom w:val="single" w:color="000000" w:sz="4" w:space="0"/>
              <w:right w:val="single" w:color="000000" w:sz="4" w:space="0"/>
            </w:tcBorders>
            <w:vAlign w:val="center"/>
          </w:tcPr>
          <w:p w14:paraId="48570E83">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w:t>
            </w:r>
          </w:p>
        </w:tc>
        <w:tc>
          <w:tcPr>
            <w:tcW w:w="750" w:type="dxa"/>
            <w:tcBorders>
              <w:top w:val="single" w:color="000000" w:sz="4" w:space="0"/>
              <w:left w:val="nil"/>
              <w:bottom w:val="single" w:color="000000" w:sz="4" w:space="0"/>
              <w:right w:val="single" w:color="000000" w:sz="4" w:space="0"/>
            </w:tcBorders>
            <w:vAlign w:val="center"/>
          </w:tcPr>
          <w:p w14:paraId="2D358BCB">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3</w:t>
            </w:r>
          </w:p>
        </w:tc>
        <w:tc>
          <w:tcPr>
            <w:tcW w:w="1057" w:type="dxa"/>
            <w:tcBorders>
              <w:top w:val="single" w:color="000000" w:sz="4" w:space="0"/>
              <w:left w:val="nil"/>
              <w:bottom w:val="single" w:color="000000" w:sz="4" w:space="0"/>
              <w:right w:val="single" w:color="000000" w:sz="4" w:space="0"/>
            </w:tcBorders>
            <w:vAlign w:val="center"/>
          </w:tcPr>
          <w:p w14:paraId="09D3578B">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1610</w:t>
            </w:r>
          </w:p>
        </w:tc>
        <w:tc>
          <w:tcPr>
            <w:tcW w:w="1227" w:type="dxa"/>
            <w:tcBorders>
              <w:top w:val="single" w:color="000000" w:sz="4" w:space="0"/>
              <w:left w:val="nil"/>
              <w:bottom w:val="single" w:color="000000" w:sz="4" w:space="0"/>
              <w:right w:val="single" w:color="000000" w:sz="4" w:space="0"/>
            </w:tcBorders>
            <w:vAlign w:val="center"/>
          </w:tcPr>
          <w:p w14:paraId="62B7D640">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4830</w:t>
            </w:r>
          </w:p>
        </w:tc>
        <w:tc>
          <w:tcPr>
            <w:tcW w:w="6897" w:type="dxa"/>
            <w:tcBorders>
              <w:top w:val="single" w:color="000000" w:sz="4" w:space="0"/>
              <w:left w:val="nil"/>
              <w:bottom w:val="single" w:color="000000" w:sz="4" w:space="0"/>
              <w:right w:val="single" w:color="000000" w:sz="4" w:space="0"/>
            </w:tcBorders>
            <w:vAlign w:val="center"/>
          </w:tcPr>
          <w:p w14:paraId="612BF4C6">
            <w:pPr>
              <w:jc w:val="center"/>
              <w:rPr>
                <w:rFonts w:ascii="黑体" w:hAnsi="黑体" w:eastAsia="黑体"/>
                <w:sz w:val="24"/>
              </w:rPr>
            </w:pPr>
            <w:r>
              <w:rPr>
                <w:rFonts w:ascii="Calibri" w:hAnsi="Calibri"/>
                <w:szCs w:val="21"/>
              </w:rPr>
              <w:drawing>
                <wp:inline distT="0" distB="0" distL="0" distR="0">
                  <wp:extent cx="1304925" cy="858520"/>
                  <wp:effectExtent l="19050" t="0" r="9525" b="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7" cstate="print"/>
                          <a:stretch>
                            <a:fillRect/>
                          </a:stretch>
                        </pic:blipFill>
                        <pic:spPr>
                          <a:xfrm>
                            <a:off x="0" y="0"/>
                            <a:ext cx="1304925" cy="858520"/>
                          </a:xfrm>
                          <a:prstGeom prst="rect">
                            <a:avLst/>
                          </a:prstGeom>
                          <a:noFill/>
                          <a:ln w="1">
                            <a:noFill/>
                          </a:ln>
                        </pic:spPr>
                      </pic:pic>
                    </a:graphicData>
                  </a:graphic>
                </wp:inline>
              </w:drawing>
            </w:r>
          </w:p>
        </w:tc>
      </w:tr>
      <w:tr w14:paraId="41B7F41B">
        <w:tblPrEx>
          <w:tblCellMar>
            <w:top w:w="0" w:type="dxa"/>
            <w:left w:w="108" w:type="dxa"/>
            <w:bottom w:w="0" w:type="dxa"/>
            <w:right w:w="108" w:type="dxa"/>
          </w:tblCellMar>
        </w:tblPrEx>
        <w:trPr>
          <w:trHeight w:val="3379"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0E68277B">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包1</w:t>
            </w:r>
          </w:p>
        </w:tc>
        <w:tc>
          <w:tcPr>
            <w:tcW w:w="915" w:type="dxa"/>
            <w:tcBorders>
              <w:top w:val="single" w:color="000000" w:sz="4" w:space="0"/>
              <w:left w:val="nil"/>
              <w:bottom w:val="single" w:color="000000" w:sz="4" w:space="0"/>
              <w:right w:val="single" w:color="000000" w:sz="4" w:space="0"/>
            </w:tcBorders>
            <w:vAlign w:val="center"/>
          </w:tcPr>
          <w:p w14:paraId="547D2B58">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1-8</w:t>
            </w:r>
          </w:p>
        </w:tc>
        <w:tc>
          <w:tcPr>
            <w:tcW w:w="1608" w:type="dxa"/>
            <w:tcBorders>
              <w:top w:val="single" w:color="000000" w:sz="4" w:space="0"/>
              <w:left w:val="nil"/>
              <w:bottom w:val="single" w:color="000000" w:sz="4" w:space="0"/>
              <w:right w:val="single" w:color="000000" w:sz="4" w:space="0"/>
            </w:tcBorders>
            <w:vAlign w:val="center"/>
          </w:tcPr>
          <w:p w14:paraId="378C167F">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办公椅</w:t>
            </w:r>
          </w:p>
        </w:tc>
        <w:tc>
          <w:tcPr>
            <w:tcW w:w="5783" w:type="dxa"/>
            <w:tcBorders>
              <w:top w:val="single" w:color="000000" w:sz="4" w:space="0"/>
              <w:left w:val="nil"/>
              <w:bottom w:val="single" w:color="000000" w:sz="4" w:space="0"/>
              <w:right w:val="single" w:color="000000" w:sz="4" w:space="0"/>
            </w:tcBorders>
            <w:vAlign w:val="center"/>
          </w:tcPr>
          <w:p w14:paraId="4383A8A7">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规格：扶手外宽600*座深530*1000/1100（mm</w:t>
            </w:r>
            <w:r>
              <w:rPr>
                <w:rFonts w:asciiTheme="minorEastAsia" w:hAnsiTheme="minorEastAsia" w:eastAsiaTheme="minorEastAsia" w:cstheme="minorEastAsia"/>
                <w:szCs w:val="21"/>
              </w:rPr>
              <w:t>）</w:t>
            </w:r>
          </w:p>
          <w:p w14:paraId="0B7F446D">
            <w:pPr>
              <w:pStyle w:val="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1、背框及扶手采用尼龙加纤（PA+GF）高强度塑料材质；</w:t>
            </w:r>
          </w:p>
          <w:p w14:paraId="7965D6AC">
            <w:pPr>
              <w:pStyle w:val="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2、背网采用涤纶+PVC，强度高、重量轻、抗压冲击性强，防虫、防火、保温、具备良好的透气性及回弹性，防潮防霉；</w:t>
            </w:r>
          </w:p>
          <w:p w14:paraId="29F8DD28">
            <w:pPr>
              <w:pStyle w:val="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3、座面布料采用涤纶，强度高、弹性好，热塑性、耐磨性好、耐腐蚀及耐光性好，色牢度高，不易褪色；</w:t>
            </w:r>
          </w:p>
          <w:p w14:paraId="620FBD2E">
            <w:pPr>
              <w:pStyle w:val="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4、海绵采用高密度定型棉，软硬度在60度以上，高回弹，抗变形能力强，</w:t>
            </w:r>
            <w:r>
              <w:rPr>
                <w:rFonts w:hint="eastAsia" w:asciiTheme="minorEastAsia" w:hAnsiTheme="minorEastAsia" w:eastAsiaTheme="minorEastAsia" w:cstheme="minorEastAsia"/>
                <w:color w:val="auto"/>
                <w:sz w:val="21"/>
                <w:szCs w:val="21"/>
                <w:lang w:val="en-US" w:eastAsia="zh-CN"/>
              </w:rPr>
              <w:t>根据</w:t>
            </w:r>
            <w:r>
              <w:rPr>
                <w:rFonts w:hint="eastAsia" w:asciiTheme="minorEastAsia" w:hAnsiTheme="minorEastAsia" w:eastAsiaTheme="minorEastAsia" w:cstheme="minorEastAsia"/>
                <w:color w:val="auto"/>
                <w:sz w:val="21"/>
                <w:szCs w:val="21"/>
              </w:rPr>
              <w:t>人体工程学原理设计，坐感舒适；</w:t>
            </w:r>
          </w:p>
          <w:p w14:paraId="144E8896">
            <w:pPr>
              <w:pStyle w:val="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5、坐板采用E1级曲木板一次热压成型，经防腐、防虫等化学处理，厚度12-15mm；</w:t>
            </w:r>
          </w:p>
          <w:p w14:paraId="4A2FDF83">
            <w:pPr>
              <w:pStyle w:val="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6、原位锁定底盘，带控制手柄；</w:t>
            </w:r>
          </w:p>
          <w:p w14:paraId="1EDA67D0">
            <w:pPr>
              <w:pStyle w:val="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7、气杆采用85#沉口4公分气杆，钢制主体，壁厚2.0mm，填充99.99%以上氮气，行程≥80mm，升降自如；</w:t>
            </w:r>
          </w:p>
          <w:p w14:paraId="18627F78">
            <w:pPr>
              <w:pStyle w:val="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8、∮340尼龙五星脚架，配φ60mm黑色专用万向轮。</w:t>
            </w:r>
          </w:p>
        </w:tc>
        <w:tc>
          <w:tcPr>
            <w:tcW w:w="800" w:type="dxa"/>
            <w:tcBorders>
              <w:top w:val="single" w:color="000000" w:sz="4" w:space="0"/>
              <w:left w:val="nil"/>
              <w:bottom w:val="single" w:color="000000" w:sz="4" w:space="0"/>
              <w:right w:val="single" w:color="000000" w:sz="4" w:space="0"/>
            </w:tcBorders>
            <w:vAlign w:val="center"/>
          </w:tcPr>
          <w:p w14:paraId="5E31479A">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w:t>
            </w:r>
          </w:p>
        </w:tc>
        <w:tc>
          <w:tcPr>
            <w:tcW w:w="750" w:type="dxa"/>
            <w:tcBorders>
              <w:top w:val="single" w:color="000000" w:sz="4" w:space="0"/>
              <w:left w:val="nil"/>
              <w:bottom w:val="single" w:color="000000" w:sz="4" w:space="0"/>
              <w:right w:val="single" w:color="000000" w:sz="4" w:space="0"/>
            </w:tcBorders>
            <w:vAlign w:val="center"/>
          </w:tcPr>
          <w:p w14:paraId="40E04D3D">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29</w:t>
            </w:r>
          </w:p>
        </w:tc>
        <w:tc>
          <w:tcPr>
            <w:tcW w:w="1057" w:type="dxa"/>
            <w:tcBorders>
              <w:top w:val="single" w:color="000000" w:sz="4" w:space="0"/>
              <w:left w:val="nil"/>
              <w:bottom w:val="single" w:color="000000" w:sz="4" w:space="0"/>
              <w:right w:val="single" w:color="000000" w:sz="4" w:space="0"/>
            </w:tcBorders>
            <w:vAlign w:val="center"/>
          </w:tcPr>
          <w:p w14:paraId="54618A88">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550</w:t>
            </w:r>
          </w:p>
        </w:tc>
        <w:tc>
          <w:tcPr>
            <w:tcW w:w="1227" w:type="dxa"/>
            <w:tcBorders>
              <w:top w:val="single" w:color="000000" w:sz="4" w:space="0"/>
              <w:left w:val="nil"/>
              <w:bottom w:val="single" w:color="000000" w:sz="4" w:space="0"/>
              <w:right w:val="single" w:color="000000" w:sz="4" w:space="0"/>
            </w:tcBorders>
            <w:vAlign w:val="center"/>
          </w:tcPr>
          <w:p w14:paraId="425C2F6E">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15950</w:t>
            </w:r>
          </w:p>
        </w:tc>
        <w:tc>
          <w:tcPr>
            <w:tcW w:w="6897" w:type="dxa"/>
            <w:tcBorders>
              <w:top w:val="single" w:color="000000" w:sz="4" w:space="0"/>
              <w:left w:val="nil"/>
              <w:bottom w:val="single" w:color="000000" w:sz="4" w:space="0"/>
              <w:right w:val="single" w:color="000000" w:sz="4" w:space="0"/>
            </w:tcBorders>
            <w:vAlign w:val="center"/>
          </w:tcPr>
          <w:p w14:paraId="2F10256B">
            <w:pPr>
              <w:jc w:val="center"/>
              <w:rPr>
                <w:rFonts w:ascii="黑体" w:hAnsi="黑体" w:eastAsia="黑体"/>
                <w:sz w:val="24"/>
              </w:rPr>
            </w:pPr>
            <w:r>
              <w:rPr>
                <w:rFonts w:ascii="Calibri" w:hAnsi="Calibri"/>
                <w:szCs w:val="21"/>
              </w:rPr>
              <w:drawing>
                <wp:inline distT="0" distB="0" distL="0" distR="0">
                  <wp:extent cx="991235" cy="1488440"/>
                  <wp:effectExtent l="19050" t="0" r="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8" cstate="print"/>
                          <a:stretch>
                            <a:fillRect/>
                          </a:stretch>
                        </pic:blipFill>
                        <pic:spPr>
                          <a:xfrm>
                            <a:off x="0" y="0"/>
                            <a:ext cx="991235" cy="1488440"/>
                          </a:xfrm>
                          <a:prstGeom prst="rect">
                            <a:avLst/>
                          </a:prstGeom>
                          <a:noFill/>
                          <a:ln w="1">
                            <a:noFill/>
                          </a:ln>
                        </pic:spPr>
                      </pic:pic>
                    </a:graphicData>
                  </a:graphic>
                </wp:inline>
              </w:drawing>
            </w:r>
          </w:p>
        </w:tc>
      </w:tr>
      <w:tr w14:paraId="1A5ADD7A">
        <w:tblPrEx>
          <w:tblCellMar>
            <w:top w:w="0" w:type="dxa"/>
            <w:left w:w="108" w:type="dxa"/>
            <w:bottom w:w="0" w:type="dxa"/>
            <w:right w:w="108" w:type="dxa"/>
          </w:tblCellMar>
        </w:tblPrEx>
        <w:trPr>
          <w:trHeight w:val="4770"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55F700AC">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包1</w:t>
            </w:r>
          </w:p>
        </w:tc>
        <w:tc>
          <w:tcPr>
            <w:tcW w:w="915" w:type="dxa"/>
            <w:tcBorders>
              <w:top w:val="single" w:color="000000" w:sz="4" w:space="0"/>
              <w:left w:val="nil"/>
              <w:bottom w:val="single" w:color="000000" w:sz="4" w:space="0"/>
              <w:right w:val="single" w:color="000000" w:sz="4" w:space="0"/>
            </w:tcBorders>
            <w:vAlign w:val="center"/>
          </w:tcPr>
          <w:p w14:paraId="21E74852">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1-9</w:t>
            </w:r>
          </w:p>
        </w:tc>
        <w:tc>
          <w:tcPr>
            <w:tcW w:w="1608" w:type="dxa"/>
            <w:tcBorders>
              <w:top w:val="single" w:color="000000" w:sz="4" w:space="0"/>
              <w:left w:val="nil"/>
              <w:bottom w:val="single" w:color="000000" w:sz="4" w:space="0"/>
              <w:right w:val="single" w:color="000000" w:sz="4" w:space="0"/>
            </w:tcBorders>
            <w:vAlign w:val="center"/>
          </w:tcPr>
          <w:p w14:paraId="6D095314">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办公椅</w:t>
            </w:r>
          </w:p>
        </w:tc>
        <w:tc>
          <w:tcPr>
            <w:tcW w:w="5783" w:type="dxa"/>
            <w:tcBorders>
              <w:top w:val="single" w:color="000000" w:sz="4" w:space="0"/>
              <w:left w:val="nil"/>
              <w:bottom w:val="single" w:color="000000" w:sz="4" w:space="0"/>
              <w:right w:val="single" w:color="000000" w:sz="4" w:space="0"/>
            </w:tcBorders>
            <w:vAlign w:val="center"/>
          </w:tcPr>
          <w:p w14:paraId="22FF6E71">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规格：座宽</w:t>
            </w:r>
            <w:r>
              <w:rPr>
                <w:rFonts w:asciiTheme="minorEastAsia" w:hAnsiTheme="minorEastAsia" w:eastAsiaTheme="minorEastAsia" w:cstheme="minorEastAsia"/>
                <w:szCs w:val="21"/>
              </w:rPr>
              <w:t>4</w:t>
            </w:r>
            <w:r>
              <w:rPr>
                <w:rFonts w:hint="eastAsia" w:asciiTheme="minorEastAsia" w:hAnsiTheme="minorEastAsia" w:eastAsiaTheme="minorEastAsia" w:cstheme="minorEastAsia"/>
                <w:szCs w:val="21"/>
              </w:rPr>
              <w:t>4</w:t>
            </w:r>
            <w:r>
              <w:rPr>
                <w:rFonts w:asciiTheme="minorEastAsia" w:hAnsiTheme="minorEastAsia" w:eastAsiaTheme="minorEastAsia" w:cstheme="minorEastAsia"/>
                <w:szCs w:val="21"/>
              </w:rPr>
              <w:t>0</w:t>
            </w:r>
            <w:r>
              <w:rPr>
                <w:rFonts w:hint="eastAsia" w:asciiTheme="minorEastAsia" w:hAnsiTheme="minorEastAsia" w:eastAsiaTheme="minorEastAsia" w:cstheme="minorEastAsia"/>
                <w:szCs w:val="21"/>
              </w:rPr>
              <w:t>W</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座深</w:t>
            </w:r>
            <w:r>
              <w:rPr>
                <w:rFonts w:asciiTheme="minorEastAsia" w:hAnsiTheme="minorEastAsia" w:eastAsiaTheme="minorEastAsia" w:cstheme="minorEastAsia"/>
                <w:szCs w:val="21"/>
              </w:rPr>
              <w:t>4</w:t>
            </w:r>
            <w:r>
              <w:rPr>
                <w:rFonts w:hint="eastAsia" w:asciiTheme="minorEastAsia" w:hAnsiTheme="minorEastAsia" w:eastAsiaTheme="minorEastAsia" w:cstheme="minorEastAsia"/>
                <w:szCs w:val="21"/>
              </w:rPr>
              <w:t>25D</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座高</w:t>
            </w:r>
            <w:r>
              <w:rPr>
                <w:rFonts w:asciiTheme="minorEastAsia" w:hAnsiTheme="minorEastAsia" w:eastAsiaTheme="minorEastAsia" w:cstheme="minorEastAsia"/>
                <w:szCs w:val="21"/>
              </w:rPr>
              <w:t>4</w:t>
            </w:r>
            <w:r>
              <w:rPr>
                <w:rFonts w:hint="eastAsia" w:asciiTheme="minorEastAsia" w:hAnsiTheme="minorEastAsia" w:eastAsiaTheme="minorEastAsia" w:cstheme="minorEastAsia"/>
                <w:szCs w:val="21"/>
              </w:rPr>
              <w:t>30</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椅高</w:t>
            </w:r>
            <w:r>
              <w:rPr>
                <w:rFonts w:asciiTheme="minorEastAsia" w:hAnsiTheme="minorEastAsia" w:eastAsiaTheme="minorEastAsia" w:cstheme="minorEastAsia"/>
                <w:szCs w:val="21"/>
              </w:rPr>
              <w:t>8</w:t>
            </w:r>
            <w:r>
              <w:rPr>
                <w:rFonts w:hint="eastAsia" w:asciiTheme="minorEastAsia" w:hAnsiTheme="minorEastAsia" w:eastAsiaTheme="minorEastAsia" w:cstheme="minorEastAsia"/>
                <w:szCs w:val="21"/>
              </w:rPr>
              <w:t>60H(mm)</w:t>
            </w:r>
            <w:r>
              <w:rPr>
                <w:rFonts w:hint="eastAsia" w:ascii="宋体" w:hAnsi="宋体" w:cs="宋体"/>
              </w:rPr>
              <w:t xml:space="preserve"> </w:t>
            </w:r>
          </w:p>
          <w:p w14:paraId="2183CC9D">
            <w:pPr>
              <w:pStyle w:val="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椅架采用橡木制作。油漆采用环保底、面漆。座板440*425*19mm，座高430mm，椅高860mm。前脚50*50mm，后脚30*50mm，前、侧上条20*70mm，后上条22*70mm，侧下拉条20*30mm，椅背460*160*19mm。</w:t>
            </w:r>
          </w:p>
        </w:tc>
        <w:tc>
          <w:tcPr>
            <w:tcW w:w="800" w:type="dxa"/>
            <w:tcBorders>
              <w:top w:val="single" w:color="000000" w:sz="4" w:space="0"/>
              <w:left w:val="nil"/>
              <w:bottom w:val="single" w:color="000000" w:sz="4" w:space="0"/>
              <w:right w:val="single" w:color="000000" w:sz="4" w:space="0"/>
            </w:tcBorders>
            <w:vAlign w:val="center"/>
          </w:tcPr>
          <w:p w14:paraId="3A7A1CB0">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w:t>
            </w:r>
          </w:p>
        </w:tc>
        <w:tc>
          <w:tcPr>
            <w:tcW w:w="750" w:type="dxa"/>
            <w:tcBorders>
              <w:top w:val="single" w:color="000000" w:sz="4" w:space="0"/>
              <w:left w:val="nil"/>
              <w:bottom w:val="single" w:color="000000" w:sz="4" w:space="0"/>
              <w:right w:val="single" w:color="000000" w:sz="4" w:space="0"/>
            </w:tcBorders>
            <w:vAlign w:val="center"/>
          </w:tcPr>
          <w:p w14:paraId="07AF6657">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20</w:t>
            </w:r>
          </w:p>
        </w:tc>
        <w:tc>
          <w:tcPr>
            <w:tcW w:w="1057" w:type="dxa"/>
            <w:tcBorders>
              <w:top w:val="single" w:color="000000" w:sz="4" w:space="0"/>
              <w:left w:val="nil"/>
              <w:bottom w:val="single" w:color="000000" w:sz="4" w:space="0"/>
              <w:right w:val="single" w:color="000000" w:sz="4" w:space="0"/>
            </w:tcBorders>
            <w:vAlign w:val="center"/>
          </w:tcPr>
          <w:p w14:paraId="0786FAFF">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380</w:t>
            </w:r>
          </w:p>
        </w:tc>
        <w:tc>
          <w:tcPr>
            <w:tcW w:w="1227" w:type="dxa"/>
            <w:tcBorders>
              <w:top w:val="single" w:color="000000" w:sz="4" w:space="0"/>
              <w:left w:val="nil"/>
              <w:bottom w:val="single" w:color="000000" w:sz="4" w:space="0"/>
              <w:right w:val="single" w:color="000000" w:sz="4" w:space="0"/>
            </w:tcBorders>
            <w:vAlign w:val="center"/>
          </w:tcPr>
          <w:p w14:paraId="4FF5FCEE">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7600</w:t>
            </w:r>
          </w:p>
        </w:tc>
        <w:tc>
          <w:tcPr>
            <w:tcW w:w="6897" w:type="dxa"/>
            <w:tcBorders>
              <w:top w:val="single" w:color="000000" w:sz="4" w:space="0"/>
              <w:left w:val="nil"/>
              <w:bottom w:val="single" w:color="000000" w:sz="4" w:space="0"/>
              <w:right w:val="single" w:color="000000" w:sz="4" w:space="0"/>
            </w:tcBorders>
            <w:vAlign w:val="center"/>
          </w:tcPr>
          <w:p w14:paraId="020CC14B">
            <w:pPr>
              <w:autoSpaceDE w:val="0"/>
              <w:autoSpaceDN w:val="0"/>
              <w:adjustRightInd w:val="0"/>
              <w:jc w:val="center"/>
              <w:rPr>
                <w:rFonts w:ascii="Arial" w:hAnsi="Arial" w:cs="Arial"/>
                <w:kern w:val="0"/>
                <w:sz w:val="24"/>
              </w:rPr>
            </w:pPr>
            <w:r>
              <w:rPr>
                <w:rFonts w:ascii="Arial" w:hAnsi="Arial" w:cs="Arial"/>
                <w:kern w:val="0"/>
                <w:sz w:val="24"/>
              </w:rPr>
              <w:drawing>
                <wp:inline distT="0" distB="0" distL="0" distR="0">
                  <wp:extent cx="1666875" cy="2286000"/>
                  <wp:effectExtent l="19050" t="0" r="0" b="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9" cstate="print"/>
                          <a:stretch>
                            <a:fillRect/>
                          </a:stretch>
                        </pic:blipFill>
                        <pic:spPr>
                          <a:xfrm>
                            <a:off x="0" y="0"/>
                            <a:ext cx="1669344" cy="2289387"/>
                          </a:xfrm>
                          <a:prstGeom prst="rect">
                            <a:avLst/>
                          </a:prstGeom>
                          <a:noFill/>
                          <a:ln w="1">
                            <a:noFill/>
                          </a:ln>
                        </pic:spPr>
                      </pic:pic>
                    </a:graphicData>
                  </a:graphic>
                </wp:inline>
              </w:drawing>
            </w:r>
          </w:p>
          <w:p w14:paraId="6876ABC7">
            <w:pPr>
              <w:autoSpaceDE w:val="0"/>
              <w:autoSpaceDN w:val="0"/>
              <w:adjustRightInd w:val="0"/>
              <w:jc w:val="left"/>
              <w:rPr>
                <w:rFonts w:ascii="Arial" w:hAnsi="Arial" w:cs="Arial"/>
                <w:kern w:val="0"/>
                <w:sz w:val="24"/>
              </w:rPr>
            </w:pPr>
          </w:p>
        </w:tc>
      </w:tr>
      <w:tr w14:paraId="5A6E75B2">
        <w:tblPrEx>
          <w:tblCellMar>
            <w:top w:w="0" w:type="dxa"/>
            <w:left w:w="108" w:type="dxa"/>
            <w:bottom w:w="0" w:type="dxa"/>
            <w:right w:w="108" w:type="dxa"/>
          </w:tblCellMar>
        </w:tblPrEx>
        <w:trPr>
          <w:trHeight w:val="2944" w:hRule="atLeast"/>
          <w:jc w:val="center"/>
        </w:trPr>
        <w:tc>
          <w:tcPr>
            <w:tcW w:w="848" w:type="dxa"/>
            <w:tcBorders>
              <w:top w:val="single" w:color="000000" w:sz="4" w:space="0"/>
              <w:left w:val="single" w:color="000000" w:sz="4" w:space="0"/>
              <w:bottom w:val="single" w:color="000000" w:sz="4" w:space="0"/>
              <w:right w:val="single" w:color="000000" w:sz="4" w:space="0"/>
            </w:tcBorders>
            <w:vAlign w:val="center"/>
          </w:tcPr>
          <w:p w14:paraId="449EBE26">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包1</w:t>
            </w:r>
          </w:p>
        </w:tc>
        <w:tc>
          <w:tcPr>
            <w:tcW w:w="915" w:type="dxa"/>
            <w:tcBorders>
              <w:top w:val="single" w:color="000000" w:sz="4" w:space="0"/>
              <w:left w:val="nil"/>
              <w:bottom w:val="single" w:color="000000" w:sz="4" w:space="0"/>
              <w:right w:val="single" w:color="000000" w:sz="4" w:space="0"/>
            </w:tcBorders>
            <w:vAlign w:val="center"/>
          </w:tcPr>
          <w:p w14:paraId="401CA97C">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1-10</w:t>
            </w:r>
          </w:p>
        </w:tc>
        <w:tc>
          <w:tcPr>
            <w:tcW w:w="1608" w:type="dxa"/>
            <w:tcBorders>
              <w:top w:val="single" w:color="000000" w:sz="4" w:space="0"/>
              <w:left w:val="nil"/>
              <w:bottom w:val="single" w:color="000000" w:sz="4" w:space="0"/>
              <w:right w:val="single" w:color="000000" w:sz="4" w:space="0"/>
            </w:tcBorders>
            <w:vAlign w:val="center"/>
          </w:tcPr>
          <w:p w14:paraId="68D356A9">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接待桌</w:t>
            </w:r>
          </w:p>
        </w:tc>
        <w:tc>
          <w:tcPr>
            <w:tcW w:w="5783" w:type="dxa"/>
            <w:tcBorders>
              <w:top w:val="single" w:color="000000" w:sz="4" w:space="0"/>
              <w:left w:val="nil"/>
              <w:bottom w:val="single" w:color="000000" w:sz="4" w:space="0"/>
              <w:right w:val="single" w:color="000000" w:sz="4" w:space="0"/>
            </w:tcBorders>
            <w:vAlign w:val="center"/>
          </w:tcPr>
          <w:p w14:paraId="2C556543">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规格：</w:t>
            </w:r>
            <w:r>
              <w:rPr>
                <w:rFonts w:asciiTheme="minorEastAsia" w:hAnsiTheme="minorEastAsia" w:eastAsiaTheme="minorEastAsia" w:cstheme="minorEastAsia"/>
                <w:szCs w:val="21"/>
              </w:rPr>
              <w:t>800</w:t>
            </w:r>
            <w:r>
              <w:rPr>
                <w:rFonts w:hint="eastAsia" w:asciiTheme="minorEastAsia" w:hAnsiTheme="minorEastAsia" w:eastAsiaTheme="minorEastAsia" w:cstheme="minorEastAsia"/>
                <w:szCs w:val="21"/>
              </w:rPr>
              <w:t>W</w:t>
            </w:r>
            <w:r>
              <w:rPr>
                <w:rFonts w:asciiTheme="minorEastAsia" w:hAnsiTheme="minorEastAsia" w:eastAsiaTheme="minorEastAsia" w:cstheme="minorEastAsia"/>
                <w:szCs w:val="21"/>
              </w:rPr>
              <w:t>*800</w:t>
            </w:r>
            <w:r>
              <w:rPr>
                <w:rFonts w:hint="eastAsia" w:asciiTheme="minorEastAsia" w:hAnsiTheme="minorEastAsia" w:eastAsiaTheme="minorEastAsia" w:cstheme="minorEastAsia"/>
                <w:szCs w:val="21"/>
              </w:rPr>
              <w:t>D</w:t>
            </w:r>
            <w:r>
              <w:rPr>
                <w:rFonts w:asciiTheme="minorEastAsia" w:hAnsiTheme="minorEastAsia" w:eastAsiaTheme="minorEastAsia" w:cstheme="minorEastAsia"/>
                <w:szCs w:val="21"/>
              </w:rPr>
              <w:t>*700</w:t>
            </w:r>
            <w:r>
              <w:rPr>
                <w:rFonts w:hint="eastAsia" w:asciiTheme="minorEastAsia" w:hAnsiTheme="minorEastAsia" w:eastAsiaTheme="minorEastAsia" w:cstheme="minorEastAsia"/>
                <w:szCs w:val="21"/>
              </w:rPr>
              <w:t>H(mm)</w:t>
            </w:r>
            <w:r>
              <w:rPr>
                <w:rFonts w:hint="eastAsia" w:ascii="宋体" w:hAnsi="宋体" w:cs="宋体"/>
              </w:rPr>
              <w:t xml:space="preserve"> </w:t>
            </w:r>
          </w:p>
          <w:p w14:paraId="3F7273E0">
            <w:pPr>
              <w:pStyle w:val="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藤材采用天然藤，藤茎细长、坚韧、不易断、材质极好，采用现代制作工艺，经过紫外线照射、消毒、蒸汽高温处理，用机器把藤原料制成一定长短粗细的规格，使其表面光洁细腻，并具有防霉防蛀及环保的特点。油漆采用木器专用环保型PU聚脂漆。</w:t>
            </w:r>
          </w:p>
        </w:tc>
        <w:tc>
          <w:tcPr>
            <w:tcW w:w="800" w:type="dxa"/>
            <w:tcBorders>
              <w:top w:val="single" w:color="000000" w:sz="4" w:space="0"/>
              <w:left w:val="nil"/>
              <w:bottom w:val="single" w:color="000000" w:sz="4" w:space="0"/>
              <w:right w:val="single" w:color="000000" w:sz="4" w:space="0"/>
            </w:tcBorders>
            <w:vAlign w:val="center"/>
          </w:tcPr>
          <w:p w14:paraId="652ABE92">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w:t>
            </w:r>
          </w:p>
        </w:tc>
        <w:tc>
          <w:tcPr>
            <w:tcW w:w="750" w:type="dxa"/>
            <w:tcBorders>
              <w:top w:val="single" w:color="000000" w:sz="4" w:space="0"/>
              <w:left w:val="nil"/>
              <w:bottom w:val="single" w:color="000000" w:sz="4" w:space="0"/>
              <w:right w:val="single" w:color="000000" w:sz="4" w:space="0"/>
            </w:tcBorders>
            <w:vAlign w:val="center"/>
          </w:tcPr>
          <w:p w14:paraId="286EB154">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w:t>
            </w:r>
          </w:p>
        </w:tc>
        <w:tc>
          <w:tcPr>
            <w:tcW w:w="1057" w:type="dxa"/>
            <w:tcBorders>
              <w:top w:val="single" w:color="000000" w:sz="4" w:space="0"/>
              <w:left w:val="nil"/>
              <w:bottom w:val="single" w:color="000000" w:sz="4" w:space="0"/>
              <w:right w:val="single" w:color="000000" w:sz="4" w:space="0"/>
            </w:tcBorders>
            <w:vAlign w:val="center"/>
          </w:tcPr>
          <w:p w14:paraId="3CE60FCF">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1000</w:t>
            </w:r>
          </w:p>
        </w:tc>
        <w:tc>
          <w:tcPr>
            <w:tcW w:w="1227" w:type="dxa"/>
            <w:tcBorders>
              <w:top w:val="single" w:color="000000" w:sz="4" w:space="0"/>
              <w:left w:val="nil"/>
              <w:bottom w:val="single" w:color="000000" w:sz="4" w:space="0"/>
              <w:right w:val="single" w:color="000000" w:sz="4" w:space="0"/>
            </w:tcBorders>
            <w:vAlign w:val="center"/>
          </w:tcPr>
          <w:p w14:paraId="0FF7984E">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1000</w:t>
            </w:r>
          </w:p>
        </w:tc>
        <w:tc>
          <w:tcPr>
            <w:tcW w:w="6897" w:type="dxa"/>
            <w:tcBorders>
              <w:top w:val="single" w:color="000000" w:sz="4" w:space="0"/>
              <w:left w:val="nil"/>
              <w:bottom w:val="single" w:color="000000" w:sz="4" w:space="0"/>
              <w:right w:val="single" w:color="000000" w:sz="4" w:space="0"/>
            </w:tcBorders>
            <w:vAlign w:val="center"/>
          </w:tcPr>
          <w:p w14:paraId="2ADC8DCE">
            <w:pPr>
              <w:jc w:val="center"/>
              <w:rPr>
                <w:rFonts w:ascii="Calibri" w:hAnsi="Calibri"/>
                <w:szCs w:val="21"/>
              </w:rPr>
            </w:pPr>
            <w:r>
              <w:rPr>
                <w:rFonts w:ascii="Calibri" w:hAnsi="Calibri"/>
                <w:szCs w:val="21"/>
              </w:rPr>
              <w:drawing>
                <wp:inline distT="0" distB="0" distL="0" distR="0">
                  <wp:extent cx="1352550" cy="1352550"/>
                  <wp:effectExtent l="19050" t="0" r="0" b="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20" cstate="print"/>
                          <a:stretch>
                            <a:fillRect/>
                          </a:stretch>
                        </pic:blipFill>
                        <pic:spPr>
                          <a:xfrm>
                            <a:off x="0" y="0"/>
                            <a:ext cx="1354985" cy="1354985"/>
                          </a:xfrm>
                          <a:prstGeom prst="rect">
                            <a:avLst/>
                          </a:prstGeom>
                          <a:noFill/>
                          <a:ln w="1">
                            <a:noFill/>
                          </a:ln>
                        </pic:spPr>
                      </pic:pic>
                    </a:graphicData>
                  </a:graphic>
                </wp:inline>
              </w:drawing>
            </w:r>
          </w:p>
        </w:tc>
      </w:tr>
    </w:tbl>
    <w:p w14:paraId="3EEA8D36">
      <w:pPr>
        <w:pStyle w:val="2"/>
        <w:rPr>
          <w:rStyle w:val="22"/>
          <w:rFonts w:cs="宋体" w:asciiTheme="minorEastAsia" w:hAnsiTheme="minorEastAsia" w:eastAsiaTheme="minorEastAsia"/>
        </w:rPr>
      </w:pPr>
      <w:r>
        <w:rPr>
          <w:rFonts w:hint="eastAsia" w:cs="Times New Roman" w:asciiTheme="minorEastAsia" w:hAnsiTheme="minorEastAsia" w:eastAsiaTheme="minorEastAsia"/>
          <w:bCs/>
          <w:color w:val="auto"/>
          <w:kern w:val="2"/>
        </w:rPr>
        <w:t>备注：1.</w:t>
      </w:r>
      <w:r>
        <w:rPr>
          <w:rStyle w:val="22"/>
          <w:rFonts w:hint="eastAsia" w:cs="宋体" w:asciiTheme="minorEastAsia" w:hAnsiTheme="minorEastAsia" w:eastAsiaTheme="minorEastAsia"/>
          <w:b w:val="0"/>
        </w:rPr>
        <w:t>上述货物规格（长×宽×高）外形尺寸允许</w:t>
      </w:r>
      <w:r>
        <w:rPr>
          <w:rFonts w:hint="eastAsia" w:cs="宋体" w:asciiTheme="minorEastAsia" w:hAnsiTheme="minorEastAsia" w:eastAsiaTheme="minorEastAsia"/>
        </w:rPr>
        <w:t>公差±</w:t>
      </w:r>
      <w:r>
        <w:rPr>
          <w:rFonts w:hint="eastAsia" w:cs="宋体" w:asciiTheme="minorEastAsia" w:hAnsiTheme="minorEastAsia" w:eastAsiaTheme="minorEastAsia"/>
          <w:color w:val="auto"/>
        </w:rPr>
        <w:t>10mm</w:t>
      </w:r>
      <w:r>
        <w:rPr>
          <w:rStyle w:val="22"/>
          <w:rFonts w:hint="eastAsia" w:cs="宋体" w:asciiTheme="minorEastAsia" w:hAnsiTheme="minorEastAsia" w:eastAsiaTheme="minorEastAsia"/>
          <w:b w:val="0"/>
        </w:rPr>
        <w:t>，厚度的偏差值+3mm。</w:t>
      </w:r>
    </w:p>
    <w:p w14:paraId="099A8D87">
      <w:pPr>
        <w:pStyle w:val="2"/>
        <w:ind w:firstLine="720" w:firstLineChars="300"/>
        <w:rPr>
          <w:rFonts w:cs="Times New Roman" w:asciiTheme="minorEastAsia" w:hAnsiTheme="minorEastAsia" w:eastAsiaTheme="minorEastAsia"/>
          <w:bCs/>
          <w:color w:val="auto"/>
          <w:kern w:val="2"/>
        </w:rPr>
      </w:pPr>
      <w:r>
        <w:rPr>
          <w:rFonts w:hint="eastAsia" w:cs="Times New Roman" w:asciiTheme="minorEastAsia" w:hAnsiTheme="minorEastAsia" w:eastAsiaTheme="minorEastAsia"/>
          <w:bCs/>
          <w:color w:val="auto"/>
          <w:kern w:val="2"/>
        </w:rPr>
        <w:t>2.包1的1-8、1-9需提供样品，</w:t>
      </w:r>
      <w:r>
        <w:rPr>
          <w:rFonts w:hint="eastAsia" w:cs="宋体" w:asciiTheme="minorEastAsia" w:hAnsiTheme="minorEastAsia" w:eastAsiaTheme="minorEastAsia"/>
          <w:color w:val="auto"/>
          <w:shd w:val="clear" w:color="auto" w:fill="FFFFFF"/>
        </w:rPr>
        <w:t>供应商须在递交响应文件截止前递交符合询价文件要求的样品，如</w:t>
      </w:r>
      <w:r>
        <w:rPr>
          <w:rFonts w:hint="eastAsia" w:cs="Times New Roman" w:asciiTheme="minorEastAsia" w:hAnsiTheme="minorEastAsia" w:eastAsiaTheme="minorEastAsia"/>
          <w:bCs/>
          <w:color w:val="auto"/>
          <w:kern w:val="2"/>
        </w:rPr>
        <w:t>样品不合格，将视为无效投标。</w:t>
      </w:r>
    </w:p>
    <w:p w14:paraId="266159E5">
      <w:pPr>
        <w:pStyle w:val="2"/>
        <w:ind w:firstLine="720" w:firstLineChars="300"/>
        <w:rPr>
          <w:rFonts w:cs="Times New Roman" w:asciiTheme="minorEastAsia" w:hAnsiTheme="minorEastAsia" w:eastAsiaTheme="minorEastAsia"/>
          <w:bCs/>
          <w:color w:val="auto"/>
          <w:kern w:val="2"/>
        </w:rPr>
      </w:pPr>
      <w:r>
        <w:rPr>
          <w:rFonts w:hint="eastAsia" w:cs="Times New Roman" w:asciiTheme="minorEastAsia" w:hAnsiTheme="minorEastAsia" w:eastAsiaTheme="minorEastAsia"/>
          <w:bCs/>
          <w:color w:val="auto"/>
          <w:kern w:val="2"/>
        </w:rPr>
        <w:t>3.</w:t>
      </w:r>
      <w:r>
        <w:rPr>
          <w:rFonts w:hint="eastAsia" w:asciiTheme="minorEastAsia" w:hAnsiTheme="minorEastAsia" w:eastAsiaTheme="minorEastAsia"/>
          <w:color w:val="auto"/>
        </w:rPr>
        <w:t xml:space="preserve"> 投标</w:t>
      </w:r>
      <w:r>
        <w:rPr>
          <w:rFonts w:hint="eastAsia" w:cs="Times New Roman" w:asciiTheme="minorEastAsia" w:hAnsiTheme="minorEastAsia" w:eastAsiaTheme="minorEastAsia"/>
          <w:bCs/>
          <w:color w:val="auto"/>
          <w:kern w:val="2"/>
        </w:rPr>
        <w:t>供应商需提供上述货物所使用的如下5种原辅材料</w:t>
      </w:r>
      <w:r>
        <w:rPr>
          <w:rFonts w:hint="eastAsia" w:cs="宋体" w:asciiTheme="minorEastAsia" w:hAnsiTheme="minorEastAsia" w:eastAsiaTheme="minorEastAsia"/>
          <w:bCs/>
          <w:color w:val="auto"/>
        </w:rPr>
        <w:t>第三方合格检测机构出具的合格检验报告原件供采购人审核</w:t>
      </w:r>
      <w:r>
        <w:rPr>
          <w:rFonts w:hint="eastAsia" w:cs="Times New Roman" w:asciiTheme="minorEastAsia" w:hAnsiTheme="minorEastAsia" w:eastAsiaTheme="minorEastAsia"/>
          <w:bCs/>
          <w:color w:val="auto"/>
          <w:kern w:val="2"/>
        </w:rPr>
        <w:t>(出具时间2019年1月1日以来)，检测（验）报告中被检或送检单位名称须与投标供应商名称一致，且检验结论须为符合或达到相关规定的，未提供或提供不全的不推荐为成交供应商。</w:t>
      </w:r>
    </w:p>
    <w:p w14:paraId="0A84AFF7">
      <w:pPr>
        <w:pStyle w:val="2"/>
        <w:ind w:firstLine="840" w:firstLineChars="350"/>
        <w:rPr>
          <w:rFonts w:cs="Times New Roman" w:asciiTheme="minorEastAsia" w:hAnsiTheme="minorEastAsia" w:eastAsiaTheme="minorEastAsia"/>
          <w:bCs/>
          <w:color w:val="auto"/>
          <w:kern w:val="2"/>
        </w:rPr>
      </w:pPr>
      <w:r>
        <w:rPr>
          <w:rFonts w:hint="eastAsia" w:cs="Times New Roman" w:asciiTheme="minorEastAsia" w:hAnsiTheme="minorEastAsia" w:eastAsiaTheme="minorEastAsia"/>
          <w:bCs/>
          <w:color w:val="auto"/>
          <w:kern w:val="2"/>
        </w:rPr>
        <w:t>3.1 中纤板（中密度纤维板）：符合标准GB/T 11718-2009 《中密度纤维板》，含水率≤8.5%，静曲强度≥26.0MPa，吸水厚度膨胀率≤9MPa。</w:t>
      </w:r>
    </w:p>
    <w:p w14:paraId="4E1B1413">
      <w:pPr>
        <w:pStyle w:val="2"/>
        <w:ind w:firstLine="840" w:firstLineChars="350"/>
        <w:rPr>
          <w:rFonts w:cs="Times New Roman" w:asciiTheme="minorEastAsia" w:hAnsiTheme="minorEastAsia" w:eastAsiaTheme="minorEastAsia"/>
          <w:bCs/>
          <w:color w:val="auto"/>
          <w:kern w:val="2"/>
        </w:rPr>
      </w:pPr>
      <w:r>
        <w:rPr>
          <w:rFonts w:hint="eastAsia" w:cs="Times New Roman" w:asciiTheme="minorEastAsia" w:hAnsiTheme="minorEastAsia" w:eastAsiaTheme="minorEastAsia"/>
          <w:bCs/>
          <w:color w:val="auto"/>
          <w:kern w:val="2"/>
        </w:rPr>
        <w:t>3.2 白乳胶：符合标准GB18583-2008《室内装饰装修材料粘胶剂中有害物质限量》，游离甲醛含量≤0.1g/kg，苯含量≤0.02g/kg、甲苯+二甲苯含量≤0.02g/kg。</w:t>
      </w:r>
    </w:p>
    <w:p w14:paraId="6AB0B21C">
      <w:pPr>
        <w:pStyle w:val="2"/>
        <w:ind w:firstLine="840" w:firstLineChars="350"/>
        <w:rPr>
          <w:rFonts w:cs="Times New Roman" w:asciiTheme="minorEastAsia" w:hAnsiTheme="minorEastAsia" w:eastAsiaTheme="minorEastAsia"/>
          <w:bCs/>
          <w:color w:val="auto"/>
          <w:kern w:val="2"/>
        </w:rPr>
      </w:pPr>
      <w:r>
        <w:rPr>
          <w:rFonts w:hint="eastAsia" w:cs="Times New Roman" w:asciiTheme="minorEastAsia" w:hAnsiTheme="minorEastAsia" w:eastAsiaTheme="minorEastAsia"/>
          <w:bCs/>
          <w:color w:val="auto"/>
          <w:kern w:val="2"/>
        </w:rPr>
        <w:t>3.3 封边条：符合标准QB/T4463-2013《家具用封边条技术要求》，甲醛释放量≤0.1mg/L。</w:t>
      </w:r>
    </w:p>
    <w:p w14:paraId="2231F9A7">
      <w:pPr>
        <w:pStyle w:val="2"/>
        <w:ind w:firstLine="840" w:firstLineChars="350"/>
        <w:rPr>
          <w:rFonts w:cs="Times New Roman" w:asciiTheme="minorEastAsia" w:hAnsiTheme="minorEastAsia" w:eastAsiaTheme="minorEastAsia"/>
          <w:bCs/>
          <w:color w:val="auto"/>
          <w:kern w:val="2"/>
        </w:rPr>
      </w:pPr>
      <w:r>
        <w:rPr>
          <w:rFonts w:hint="eastAsia" w:cs="Times New Roman" w:asciiTheme="minorEastAsia" w:hAnsiTheme="minorEastAsia" w:eastAsiaTheme="minorEastAsia"/>
          <w:bCs/>
          <w:color w:val="auto"/>
          <w:kern w:val="2"/>
        </w:rPr>
        <w:t>3.4 铰链：符合标准QB/T 2189-2013《家具五金杯状暗铰链》，下沉量≤2.0mm.</w:t>
      </w:r>
    </w:p>
    <w:p w14:paraId="50DBCB65">
      <w:pPr>
        <w:pStyle w:val="2"/>
        <w:ind w:firstLine="840" w:firstLineChars="350"/>
        <w:rPr>
          <w:rFonts w:cs="Times New Roman" w:asciiTheme="minorEastAsia" w:hAnsiTheme="minorEastAsia" w:eastAsiaTheme="minorEastAsia"/>
          <w:bCs/>
          <w:color w:val="auto"/>
          <w:kern w:val="2"/>
        </w:rPr>
      </w:pPr>
      <w:r>
        <w:rPr>
          <w:rFonts w:hint="eastAsia" w:cs="Times New Roman" w:asciiTheme="minorEastAsia" w:hAnsiTheme="minorEastAsia" w:eastAsiaTheme="minorEastAsia"/>
          <w:bCs/>
          <w:color w:val="auto"/>
          <w:kern w:val="2"/>
        </w:rPr>
        <w:t>3.5 导轨：符合标准QB/T2454-2013《家具五金抽屉导轨》，下沉量≤2.0%。</w:t>
      </w:r>
    </w:p>
    <w:p w14:paraId="2BE38467">
      <w:pPr>
        <w:pStyle w:val="2"/>
        <w:rPr>
          <w:rFonts w:cs="Times New Roman" w:asciiTheme="minorEastAsia" w:hAnsiTheme="minorEastAsia" w:eastAsiaTheme="minorEastAsia"/>
          <w:bCs/>
          <w:color w:val="auto"/>
          <w:kern w:val="2"/>
        </w:rPr>
        <w:sectPr>
          <w:pgSz w:w="23757" w:h="16783" w:orient="landscape"/>
          <w:pgMar w:top="1247" w:right="1134" w:bottom="1134" w:left="851" w:header="567" w:footer="567" w:gutter="0"/>
          <w:cols w:space="720" w:num="1"/>
          <w:docGrid w:type="lines" w:linePitch="312" w:charSpace="0"/>
        </w:sectPr>
      </w:pPr>
    </w:p>
    <w:bookmarkEnd w:id="47"/>
    <w:bookmarkEnd w:id="48"/>
    <w:bookmarkEnd w:id="49"/>
    <w:p w14:paraId="4658CAF5">
      <w:pPr>
        <w:pStyle w:val="2"/>
        <w:rPr>
          <w:rFonts w:ascii="宋体" w:hAnsi="宋体"/>
          <w:b/>
          <w:color w:val="auto"/>
        </w:rPr>
      </w:pPr>
      <w:bookmarkStart w:id="50" w:name="_Toc358109805"/>
      <w:bookmarkStart w:id="51" w:name="_Toc394319916"/>
      <w:bookmarkStart w:id="52" w:name="_Toc416379639"/>
      <w:bookmarkStart w:id="53" w:name="_Toc425276504"/>
      <w:bookmarkStart w:id="54" w:name="_Toc478753855"/>
      <w:bookmarkStart w:id="55" w:name="_Toc57451666"/>
      <w:bookmarkStart w:id="56" w:name="_Toc34"/>
      <w:bookmarkStart w:id="57" w:name="_Toc1931"/>
      <w:r>
        <w:rPr>
          <w:rFonts w:hint="eastAsia" w:ascii="宋体" w:hAnsi="宋体" w:eastAsia="宋体" w:cs="Times New Roman"/>
          <w:b/>
          <w:color w:val="auto"/>
        </w:rPr>
        <w:t>二、售后服务要求</w:t>
      </w:r>
    </w:p>
    <w:p w14:paraId="1C38A27B">
      <w:pPr>
        <w:spacing w:line="440" w:lineRule="exact"/>
        <w:ind w:firstLine="480" w:firstLineChars="200"/>
        <w:rPr>
          <w:rFonts w:hAnsi="宋体"/>
          <w:sz w:val="24"/>
        </w:rPr>
      </w:pPr>
      <w:r>
        <w:rPr>
          <w:rFonts w:hint="eastAsia" w:hAnsi="宋体"/>
          <w:sz w:val="24"/>
        </w:rPr>
        <w:t>（一）投标人对提供的货物或服务，因产品及服务质量、或知识产权纠纷等问题，必须提供保修、包换、包退等服务。</w:t>
      </w:r>
    </w:p>
    <w:p w14:paraId="14D628FF">
      <w:pPr>
        <w:spacing w:line="440" w:lineRule="exact"/>
        <w:ind w:firstLine="480" w:firstLineChars="200"/>
        <w:rPr>
          <w:rFonts w:hAnsi="宋体"/>
          <w:sz w:val="24"/>
        </w:rPr>
      </w:pPr>
      <w:r>
        <w:rPr>
          <w:rFonts w:hint="eastAsia" w:hAnsi="宋体"/>
          <w:sz w:val="24"/>
        </w:rPr>
        <w:t>（二）货物安装调试合格后，投标人负责对采购人技术人员进行免费现场培训，培训内容包括系统的功能、原理、使用与维护等，培训日程视实际情况另定。</w:t>
      </w:r>
    </w:p>
    <w:p w14:paraId="6003F75F">
      <w:pPr>
        <w:spacing w:line="440" w:lineRule="exact"/>
        <w:ind w:firstLine="480" w:firstLineChars="200"/>
        <w:rPr>
          <w:rFonts w:hAnsi="宋体"/>
          <w:sz w:val="24"/>
        </w:rPr>
      </w:pPr>
      <w:r>
        <w:rPr>
          <w:rFonts w:hint="eastAsia" w:hAnsi="宋体"/>
          <w:sz w:val="24"/>
        </w:rPr>
        <w:t>（三）质保期：投标人所供货物质保期自最终验收合格之日起开始计算，投标人需保证免费质保期至少为（12）个月。投标人在接到用户设备故障电话通知起，由于故障而无法工作超过3天，质保期自动延长相应天数（延长天数从故障电话通知之日开始计算）。</w:t>
      </w:r>
    </w:p>
    <w:p w14:paraId="07583D82">
      <w:pPr>
        <w:spacing w:line="440" w:lineRule="exact"/>
        <w:ind w:firstLine="480" w:firstLineChars="200"/>
        <w:rPr>
          <w:rFonts w:hAnsi="宋体"/>
          <w:sz w:val="24"/>
        </w:rPr>
      </w:pPr>
      <w:r>
        <w:rPr>
          <w:rFonts w:hint="eastAsia" w:hAnsi="宋体"/>
          <w:sz w:val="24"/>
        </w:rPr>
        <w:t>（四）质保期内货物一旦出现故障，投标人响应时间不超过4小时，检修人员在2个工作日内到设备安装地点及时排除故障，技术人员在12小时内完成系统恢复正常使用；如果无法恢复的，投标人应负责联系厂家技术人员到现场排除故障，厂方人员接到报修后，响应时间不超过24小时；技术人员在72小时内不能排除故障时，投标人应提供与该系统规格、技术指标相一致的备品，并在到现场完成系统更换及指导工作，以保证实验教学正常运行。</w:t>
      </w:r>
    </w:p>
    <w:p w14:paraId="26B7B0DD">
      <w:pPr>
        <w:spacing w:line="440" w:lineRule="exact"/>
        <w:ind w:firstLine="480" w:firstLineChars="200"/>
        <w:rPr>
          <w:rFonts w:hAnsi="宋体"/>
          <w:sz w:val="24"/>
        </w:rPr>
      </w:pPr>
      <w:r>
        <w:rPr>
          <w:rFonts w:hint="eastAsia" w:hAnsi="宋体"/>
          <w:sz w:val="24"/>
        </w:rPr>
        <w:t>（五）质保期结束后，投标人需提供终身应用咨询、技术帮助及维护，做到终身维保；货物一旦出现故障，投标人需协助采购人对货物进行维修，远程不能解决的，投标人需派出技术人员2个工作日内到现场进行维修，只收取人员差旅费，对设备故障需要更换的配件以成本价提供。</w:t>
      </w:r>
    </w:p>
    <w:p w14:paraId="5416F0B1">
      <w:pPr>
        <w:spacing w:line="440" w:lineRule="exact"/>
        <w:rPr>
          <w:rFonts w:ascii="宋体" w:hAnsi="宋体"/>
          <w:b/>
          <w:bCs/>
          <w:sz w:val="24"/>
        </w:rPr>
      </w:pPr>
      <w:r>
        <w:rPr>
          <w:rFonts w:hint="eastAsia" w:ascii="宋体" w:hAnsi="宋体"/>
          <w:b/>
          <w:bCs/>
          <w:sz w:val="24"/>
        </w:rPr>
        <w:t>三、项目验收</w:t>
      </w:r>
    </w:p>
    <w:bookmarkEnd w:id="50"/>
    <w:bookmarkEnd w:id="51"/>
    <w:p w14:paraId="13A53917">
      <w:pPr>
        <w:spacing w:line="440" w:lineRule="exact"/>
        <w:ind w:firstLine="480" w:firstLineChars="200"/>
        <w:rPr>
          <w:rFonts w:hAnsi="宋体"/>
          <w:sz w:val="24"/>
        </w:rPr>
      </w:pPr>
      <w:bookmarkStart w:id="58" w:name="_Toc430269118"/>
      <w:bookmarkStart w:id="59" w:name="_Toc358109807"/>
      <w:bookmarkStart w:id="60" w:name="_Toc285393068"/>
      <w:bookmarkStart w:id="61" w:name="_Toc430269287"/>
      <w:bookmarkStart w:id="62" w:name="_Toc394319918"/>
      <w:bookmarkStart w:id="63" w:name="_Toc491700052"/>
      <w:bookmarkStart w:id="64" w:name="_Toc394319917"/>
      <w:bookmarkStart w:id="65" w:name="_Toc358109806"/>
      <w:r>
        <w:rPr>
          <w:rFonts w:hint="eastAsia" w:hAnsi="宋体"/>
          <w:sz w:val="24"/>
        </w:rPr>
        <w:t>（一）验收标准</w:t>
      </w:r>
    </w:p>
    <w:p w14:paraId="25A8C711">
      <w:pPr>
        <w:spacing w:line="440" w:lineRule="exact"/>
        <w:ind w:firstLine="480" w:firstLineChars="200"/>
        <w:rPr>
          <w:rFonts w:hAnsi="宋体"/>
          <w:sz w:val="24"/>
        </w:rPr>
      </w:pPr>
      <w:r>
        <w:rPr>
          <w:rFonts w:hint="eastAsia" w:hAnsi="宋体"/>
          <w:sz w:val="24"/>
        </w:rPr>
        <w:t>按厂家设备验收标准(符合国家或行业或地方标准)、招标文件、投标文件、合同等相关文件执行。验收结果应符合采购人使用要求。</w:t>
      </w:r>
    </w:p>
    <w:p w14:paraId="24EE739B">
      <w:pPr>
        <w:spacing w:line="440" w:lineRule="exact"/>
        <w:ind w:firstLine="480" w:firstLineChars="200"/>
        <w:rPr>
          <w:rFonts w:hAnsi="宋体"/>
          <w:sz w:val="24"/>
        </w:rPr>
      </w:pPr>
      <w:r>
        <w:rPr>
          <w:rFonts w:hint="eastAsia" w:hAnsi="宋体"/>
          <w:sz w:val="24"/>
        </w:rPr>
        <w:t>（二）验收程序</w:t>
      </w:r>
    </w:p>
    <w:p w14:paraId="0924026D">
      <w:pPr>
        <w:spacing w:line="440" w:lineRule="exact"/>
        <w:ind w:firstLine="480" w:firstLineChars="200"/>
        <w:rPr>
          <w:rFonts w:hAnsi="宋体"/>
          <w:sz w:val="24"/>
        </w:rPr>
      </w:pPr>
      <w:r>
        <w:rPr>
          <w:rFonts w:hint="eastAsia" w:hAnsi="宋体"/>
          <w:sz w:val="24"/>
        </w:rPr>
        <w:t>1、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定交货地点。</w:t>
      </w:r>
    </w:p>
    <w:p w14:paraId="3B200D35">
      <w:pPr>
        <w:spacing w:line="440" w:lineRule="exact"/>
        <w:ind w:firstLine="480" w:firstLineChars="200"/>
        <w:rPr>
          <w:rFonts w:hAnsi="宋体"/>
          <w:sz w:val="24"/>
        </w:rPr>
      </w:pPr>
      <w:r>
        <w:rPr>
          <w:rFonts w:hint="eastAsia" w:hAnsi="宋体"/>
          <w:sz w:val="24"/>
        </w:rPr>
        <w:t>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30天内交付合格的新品，逾期未处理的，将予以退货，由此产生的费用和采购人的损失，由投标人承担；选择退货处理的，投标人需在收到退货通知之日起10天内将货物自行运回，如逾期投标人未退回货物，采购人有权将货物退回投标人法定地址，由此产生的一切费用由投标人承担。</w:t>
      </w:r>
    </w:p>
    <w:p w14:paraId="109DD86C">
      <w:pPr>
        <w:spacing w:line="440" w:lineRule="exact"/>
        <w:ind w:firstLine="480" w:firstLineChars="200"/>
        <w:rPr>
          <w:rFonts w:hAnsi="宋体"/>
          <w:b/>
          <w:bCs/>
          <w:sz w:val="24"/>
        </w:rPr>
      </w:pPr>
      <w:r>
        <w:rPr>
          <w:rFonts w:hint="eastAsia" w:hAnsi="宋体"/>
          <w:sz w:val="24"/>
        </w:rPr>
        <w:t>3、最终验收：设备在安装地安装、调试与试运行无问题之后30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30天内完成整改，逾期未处理，将按退货处理，由此产生的费用和采购人的损失，由投标人承担；②选择换货处理的，投标人需在收到换货通知日起30天内交付合格的新品，逾期未处理，将按退货处理，由此产生的费用和采购人的损失，由投标人承担；③选择退货处理的，投标人需在收到退货通知之日起10天内将货物自行运回，如逾期投标人未退回货物，采购人有权将货物退回投标人法定地址，由此产生的一切费用由投标人承担。</w:t>
      </w:r>
    </w:p>
    <w:p w14:paraId="787692D2">
      <w:pPr>
        <w:spacing w:line="440" w:lineRule="exact"/>
        <w:rPr>
          <w:rFonts w:hAnsi="宋体"/>
          <w:b/>
          <w:bCs/>
          <w:sz w:val="24"/>
        </w:rPr>
      </w:pPr>
      <w:r>
        <w:rPr>
          <w:rFonts w:hint="eastAsia" w:hAnsi="宋体"/>
          <w:b/>
          <w:bCs/>
          <w:sz w:val="24"/>
        </w:rPr>
        <w:t>四</w:t>
      </w:r>
      <w:r>
        <w:rPr>
          <w:rFonts w:hAnsi="宋体"/>
          <w:b/>
          <w:bCs/>
          <w:sz w:val="24"/>
        </w:rPr>
        <w:t>、报价</w:t>
      </w:r>
      <w:r>
        <w:rPr>
          <w:rFonts w:hint="eastAsia" w:hAnsi="宋体"/>
          <w:b/>
          <w:bCs/>
          <w:sz w:val="24"/>
        </w:rPr>
        <w:t>要求</w:t>
      </w:r>
    </w:p>
    <w:bookmarkEnd w:id="58"/>
    <w:bookmarkEnd w:id="59"/>
    <w:bookmarkEnd w:id="60"/>
    <w:bookmarkEnd w:id="61"/>
    <w:bookmarkEnd w:id="62"/>
    <w:bookmarkEnd w:id="63"/>
    <w:p w14:paraId="4FDA4736">
      <w:pPr>
        <w:spacing w:line="440" w:lineRule="exact"/>
        <w:ind w:firstLine="480" w:firstLineChars="200"/>
        <w:rPr>
          <w:rFonts w:hAnsi="宋体"/>
          <w:b/>
          <w:bCs/>
          <w:sz w:val="24"/>
        </w:rPr>
      </w:pPr>
      <w:bookmarkStart w:id="66" w:name="_Toc491700053"/>
      <w:r>
        <w:rPr>
          <w:rFonts w:hAnsi="宋体"/>
          <w:sz w:val="24"/>
        </w:rPr>
        <w:t>1、</w:t>
      </w:r>
      <w:r>
        <w:rPr>
          <w:rFonts w:hint="eastAsia" w:hAnsi="宋体"/>
          <w:sz w:val="24"/>
        </w:rPr>
        <w:t>投标报价指为完成指定服务所需投入的人工、材料、交通运输费、利润、税金、售后服务费、政策性文件规定费用以及所有风险与责任等一切费用。报价供应商报价应包括项目所涉及的所有费用进行报价，报价供应商报价应包含完成本项目所涉及的所有费用。</w:t>
      </w:r>
    </w:p>
    <w:p w14:paraId="6F68F40B">
      <w:pPr>
        <w:spacing w:line="440" w:lineRule="exact"/>
        <w:ind w:firstLine="480" w:firstLineChars="200"/>
        <w:rPr>
          <w:rFonts w:ascii="宋体" w:hAnsi="宋体"/>
          <w:sz w:val="24"/>
        </w:rPr>
      </w:pPr>
      <w:r>
        <w:rPr>
          <w:rFonts w:hint="eastAsia" w:ascii="宋体" w:hAnsi="宋体"/>
          <w:bCs/>
          <w:kern w:val="0"/>
          <w:sz w:val="24"/>
        </w:rPr>
        <w:t>2</w:t>
      </w:r>
      <w:r>
        <w:rPr>
          <w:rFonts w:ascii="宋体" w:hAnsi="宋体"/>
          <w:bCs/>
          <w:kern w:val="0"/>
          <w:sz w:val="24"/>
        </w:rPr>
        <w:t>、</w:t>
      </w:r>
      <w:r>
        <w:rPr>
          <w:rFonts w:ascii="宋体" w:hAnsi="宋体"/>
          <w:sz w:val="24"/>
        </w:rPr>
        <w:t>各供应商报价时应综合考虑日后属政策性调整、各种材料市场价格的浮动等因素造成的货物价格变动，上述价格变动不予调整。</w:t>
      </w:r>
    </w:p>
    <w:p w14:paraId="30369949">
      <w:pPr>
        <w:spacing w:line="440" w:lineRule="exact"/>
        <w:ind w:firstLine="480" w:firstLineChars="200"/>
        <w:rPr>
          <w:rFonts w:ascii="宋体" w:hAnsi="宋体" w:cs="宋体"/>
          <w:sz w:val="24"/>
        </w:rPr>
      </w:pPr>
      <w:r>
        <w:rPr>
          <w:rFonts w:hint="eastAsia" w:ascii="宋体" w:hAnsi="宋体" w:cs="宋体"/>
          <w:sz w:val="24"/>
        </w:rPr>
        <w:t>3.</w:t>
      </w:r>
      <w:r>
        <w:rPr>
          <w:rFonts w:ascii="宋体" w:hAnsi="宋体"/>
          <w:sz w:val="24"/>
        </w:rPr>
        <w:t>各供应商</w:t>
      </w:r>
      <w:r>
        <w:rPr>
          <w:rFonts w:hint="eastAsia" w:ascii="宋体" w:hAnsi="宋体" w:cs="宋体"/>
          <w:sz w:val="24"/>
        </w:rPr>
        <w:t>对每个合同号只允许有一个报价，不接受任何选择性的报价。</w:t>
      </w:r>
    </w:p>
    <w:p w14:paraId="67DD1C78">
      <w:pPr>
        <w:spacing w:line="440" w:lineRule="exact"/>
        <w:ind w:firstLine="480" w:firstLineChars="200"/>
      </w:pPr>
      <w:r>
        <w:rPr>
          <w:rFonts w:hint="eastAsia" w:ascii="宋体" w:hAnsi="宋体" w:cs="宋体"/>
          <w:sz w:val="24"/>
        </w:rPr>
        <w:t>4.</w:t>
      </w:r>
      <w:r>
        <w:rPr>
          <w:rFonts w:hint="eastAsia" w:ascii="宋体" w:hAnsi="宋体"/>
          <w:sz w:val="24"/>
        </w:rPr>
        <w:t>成交供应商</w:t>
      </w:r>
      <w:r>
        <w:rPr>
          <w:rFonts w:hint="eastAsia" w:ascii="宋体" w:hAnsi="宋体" w:cs="宋体"/>
          <w:sz w:val="24"/>
        </w:rPr>
        <w:t>在服务期限内，应严格按照《中华人民共和国劳动法》的规定用工，签订用工劳务合同，并按规定为工人购买人身意外保险及相关的劳动保险，承包期间发生的一切安全责任事故及造成第三者伤害责任的，均由成交供应商承担。</w:t>
      </w:r>
    </w:p>
    <w:p w14:paraId="4F83DC9B">
      <w:pPr>
        <w:spacing w:line="440" w:lineRule="exact"/>
        <w:rPr>
          <w:rFonts w:ascii="宋体" w:hAnsi="宋体"/>
          <w:b/>
          <w:kern w:val="0"/>
          <w:sz w:val="24"/>
        </w:rPr>
      </w:pPr>
      <w:r>
        <w:rPr>
          <w:rFonts w:hint="eastAsia" w:ascii="宋体" w:hAnsi="宋体"/>
          <w:b/>
          <w:kern w:val="0"/>
          <w:sz w:val="24"/>
        </w:rPr>
        <w:t>五、交货地点及时间</w:t>
      </w:r>
    </w:p>
    <w:p w14:paraId="6237740F">
      <w:pPr>
        <w:pStyle w:val="2"/>
        <w:ind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交货地点：福建省泉州市丰泽区东海大街398号泉州师范学院图书馆。</w:t>
      </w:r>
    </w:p>
    <w:p w14:paraId="1ABAC134">
      <w:pPr>
        <w:spacing w:line="440" w:lineRule="exact"/>
        <w:ind w:firstLine="482" w:firstLineChars="200"/>
        <w:rPr>
          <w:rFonts w:ascii="宋体" w:hAnsi="宋体"/>
          <w:b/>
          <w:kern w:val="0"/>
          <w:sz w:val="24"/>
        </w:rPr>
      </w:pPr>
      <w:r>
        <w:rPr>
          <w:rFonts w:hint="eastAsia" w:ascii="宋体" w:hAnsi="宋体"/>
          <w:b/>
          <w:kern w:val="0"/>
          <w:sz w:val="24"/>
        </w:rPr>
        <w:t>交货时间：2023年1月31日前。</w:t>
      </w:r>
    </w:p>
    <w:p w14:paraId="58868CAE">
      <w:pPr>
        <w:spacing w:line="440" w:lineRule="exact"/>
        <w:rPr>
          <w:rFonts w:ascii="宋体" w:hAnsi="宋体"/>
          <w:b/>
          <w:kern w:val="0"/>
          <w:sz w:val="24"/>
        </w:rPr>
      </w:pPr>
      <w:r>
        <w:rPr>
          <w:rFonts w:hint="eastAsia" w:ascii="宋体" w:hAnsi="宋体"/>
          <w:b/>
          <w:kern w:val="0"/>
          <w:sz w:val="24"/>
        </w:rPr>
        <w:t>六</w:t>
      </w:r>
      <w:r>
        <w:rPr>
          <w:rFonts w:ascii="宋体" w:hAnsi="宋体"/>
          <w:b/>
          <w:kern w:val="0"/>
          <w:sz w:val="24"/>
        </w:rPr>
        <w:t>、付款方式</w:t>
      </w:r>
    </w:p>
    <w:bookmarkEnd w:id="52"/>
    <w:bookmarkEnd w:id="53"/>
    <w:bookmarkEnd w:id="54"/>
    <w:bookmarkEnd w:id="55"/>
    <w:bookmarkEnd w:id="64"/>
    <w:bookmarkEnd w:id="65"/>
    <w:bookmarkEnd w:id="66"/>
    <w:p w14:paraId="148B81DA">
      <w:pPr>
        <w:spacing w:line="440" w:lineRule="exact"/>
        <w:ind w:firstLine="480" w:firstLineChars="200"/>
        <w:rPr>
          <w:rFonts w:cs="宋体" w:asciiTheme="minorEastAsia" w:hAnsiTheme="minorEastAsia" w:eastAsiaTheme="minorEastAsia"/>
          <w:sz w:val="24"/>
        </w:rPr>
      </w:pPr>
      <w:r>
        <w:rPr>
          <w:rFonts w:hint="eastAsia" w:ascii="宋体" w:hAnsi="宋体" w:cs="宋体"/>
          <w:sz w:val="24"/>
        </w:rPr>
        <w:t>在合同签订后，中标供应商提交银行出具的预付款保函或启用我校指定银行的三方共管账户后，我校支付合同总价100%的预付款。预付款保函的有效期需在采购项目验收合格日期之后；启用我校指定银行的三方共管账户，采购项目经验收合格后，中标供应商从三方共管账户支取款项。</w:t>
      </w:r>
      <w:r>
        <w:rPr>
          <w:rFonts w:hint="eastAsia" w:cs="宋体" w:asciiTheme="minorEastAsia" w:hAnsiTheme="minorEastAsia" w:eastAsiaTheme="minorEastAsia"/>
          <w:sz w:val="24"/>
        </w:rPr>
        <w:t>中标供应商应在签订合同前向采购人缴纳合同金额3%的履约保证金，该保证金在中标供应商供应的货物全部验收合格，合同约定事项全部履行完毕且无未了事项后，30日内一次性无息退还。</w:t>
      </w:r>
    </w:p>
    <w:p w14:paraId="55B1E868">
      <w:pPr>
        <w:spacing w:line="440" w:lineRule="exact"/>
        <w:rPr>
          <w:rFonts w:ascii="宋体" w:hAnsi="宋体"/>
          <w:kern w:val="0"/>
          <w:sz w:val="24"/>
        </w:rPr>
      </w:pPr>
      <w:r>
        <w:rPr>
          <w:rFonts w:hint="eastAsia" w:ascii="宋体" w:hAnsi="宋体"/>
          <w:b/>
          <w:kern w:val="0"/>
          <w:sz w:val="24"/>
        </w:rPr>
        <w:t>七、知识产权</w:t>
      </w:r>
    </w:p>
    <w:p w14:paraId="541B6546">
      <w:pPr>
        <w:pStyle w:val="15"/>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6696AFEE">
      <w:pPr>
        <w:pStyle w:val="15"/>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14:paraId="66CA264A">
      <w:pPr>
        <w:spacing w:line="440" w:lineRule="exact"/>
        <w:rPr>
          <w:rFonts w:ascii="宋体" w:hAnsi="宋体"/>
          <w:b/>
          <w:sz w:val="24"/>
        </w:rPr>
      </w:pPr>
      <w:r>
        <w:rPr>
          <w:rFonts w:hint="eastAsia" w:ascii="宋体" w:hAnsi="宋体"/>
          <w:b/>
          <w:sz w:val="24"/>
        </w:rPr>
        <w:t>八、违约责任</w:t>
      </w:r>
    </w:p>
    <w:p w14:paraId="4F46F822">
      <w:pPr>
        <w:pStyle w:val="15"/>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14:paraId="03D1AC75">
      <w:pPr>
        <w:pStyle w:val="15"/>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（2）成交供应商所交货物不符合本招标文件要求的，采购人有权拒收；同时，成交供应商应向采购人赔偿该合同款30%的违约金，且涉及到的部分合同条款采购人有权终止履行。</w:t>
      </w:r>
    </w:p>
    <w:p w14:paraId="24A35326">
      <w:pPr>
        <w:pStyle w:val="15"/>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14:paraId="40DCE32F">
      <w:pPr>
        <w:pStyle w:val="15"/>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（4）成交供应商未经采购人同意单方面终止合同的，成交供应商除了应向采购人赔偿因合同终止导致的损失外，还应向采购人偿付该合同款30%的违约金。</w:t>
      </w:r>
    </w:p>
    <w:p w14:paraId="5AE8366A">
      <w:pPr>
        <w:pStyle w:val="15"/>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（5）因成交供应商违约对采购人造成损失的赔偿金及合同约定的违约金均可由采购人从未支付的合同款或履约保证金中扣除。</w:t>
      </w:r>
    </w:p>
    <w:p w14:paraId="4D8A5B5F">
      <w:pPr>
        <w:pStyle w:val="15"/>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（6）成交供应商在货物运输、装卸、安装等各种环节中产生的一切意外事故，包括不可抗拒力因素造成的事故，造成货物或配件的损坏概由成交供应商负责。</w:t>
      </w:r>
    </w:p>
    <w:p w14:paraId="380E4BC9">
      <w:pPr>
        <w:pStyle w:val="15"/>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（7）因采购人原因导致成交供应商未能按合同约定履行的，成交供应商可免于承担违约责任。</w:t>
      </w:r>
    </w:p>
    <w:p w14:paraId="21FDC15C">
      <w:pPr>
        <w:pStyle w:val="4"/>
        <w:spacing w:line="440" w:lineRule="exact"/>
        <w:jc w:val="left"/>
        <w:rPr>
          <w:rFonts w:ascii="宋体" w:hAnsi="宋体" w:eastAsia="宋体"/>
          <w:sz w:val="24"/>
        </w:rPr>
      </w:pPr>
    </w:p>
    <w:p w14:paraId="63811891">
      <w:pPr>
        <w:pStyle w:val="4"/>
        <w:spacing w:line="440" w:lineRule="exact"/>
        <w:jc w:val="left"/>
        <w:rPr>
          <w:rFonts w:ascii="宋体" w:hAnsi="宋体" w:eastAsia="宋体"/>
          <w:sz w:val="24"/>
        </w:rPr>
      </w:pPr>
    </w:p>
    <w:p w14:paraId="40767F12">
      <w:pPr>
        <w:pStyle w:val="4"/>
        <w:spacing w:line="440" w:lineRule="exact"/>
        <w:jc w:val="left"/>
        <w:rPr>
          <w:rFonts w:ascii="宋体" w:hAnsi="宋体" w:eastAsia="宋体"/>
          <w:sz w:val="24"/>
        </w:rPr>
      </w:pPr>
    </w:p>
    <w:bookmarkEnd w:id="56"/>
    <w:bookmarkEnd w:id="57"/>
    <w:p w14:paraId="104DCA02">
      <w:pPr>
        <w:pStyle w:val="18"/>
        <w:ind w:firstLine="210"/>
      </w:pPr>
    </w:p>
    <w:p w14:paraId="014C18C3">
      <w:pPr>
        <w:pStyle w:val="3"/>
        <w:spacing w:before="120" w:after="120" w:line="400" w:lineRule="exact"/>
        <w:jc w:val="center"/>
        <w:rPr>
          <w:rFonts w:ascii="宋体" w:hAnsi="宋体" w:eastAsia="宋体"/>
          <w:szCs w:val="32"/>
        </w:rPr>
      </w:pPr>
      <w:bookmarkStart w:id="67" w:name="_Toc1683"/>
      <w:r>
        <w:rPr>
          <w:rFonts w:hint="eastAsia" w:ascii="宋体" w:hAnsi="宋体" w:eastAsia="宋体"/>
          <w:szCs w:val="32"/>
        </w:rPr>
        <w:br w:type="page"/>
      </w:r>
      <w:bookmarkStart w:id="68" w:name="_Toc29063"/>
      <w:bookmarkStart w:id="69" w:name="_Toc25197"/>
      <w:r>
        <w:rPr>
          <w:rFonts w:hint="eastAsia" w:ascii="宋体" w:hAnsi="宋体" w:eastAsia="宋体"/>
          <w:szCs w:val="32"/>
        </w:rPr>
        <w:t>第四部分    报价文件格式</w:t>
      </w:r>
      <w:bookmarkEnd w:id="67"/>
      <w:bookmarkEnd w:id="68"/>
      <w:bookmarkEnd w:id="69"/>
    </w:p>
    <w:p w14:paraId="72666478">
      <w:pPr>
        <w:spacing w:line="360" w:lineRule="auto"/>
        <w:rPr>
          <w:rFonts w:ascii="宋体" w:hAnsi="宋体"/>
          <w:b/>
          <w:sz w:val="28"/>
          <w:szCs w:val="28"/>
        </w:rPr>
      </w:pPr>
    </w:p>
    <w:p w14:paraId="7C95A816">
      <w:pPr>
        <w:spacing w:line="360" w:lineRule="auto"/>
        <w:jc w:val="center"/>
        <w:rPr>
          <w:rFonts w:ascii="宋体" w:hAnsi="宋体"/>
          <w:b/>
          <w:sz w:val="72"/>
        </w:rPr>
      </w:pPr>
    </w:p>
    <w:p w14:paraId="6A848E59">
      <w:pPr>
        <w:spacing w:line="360" w:lineRule="auto"/>
        <w:jc w:val="center"/>
        <w:rPr>
          <w:rFonts w:ascii="宋体" w:hAnsi="宋体"/>
          <w:b/>
          <w:sz w:val="84"/>
          <w:szCs w:val="84"/>
        </w:rPr>
      </w:pPr>
      <w:r>
        <w:rPr>
          <w:rFonts w:hint="eastAsia" w:ascii="宋体" w:hAnsi="宋体"/>
          <w:b/>
          <w:sz w:val="84"/>
          <w:szCs w:val="84"/>
        </w:rPr>
        <w:t>报价响应文件</w:t>
      </w:r>
    </w:p>
    <w:p w14:paraId="3274FE6B">
      <w:pPr>
        <w:spacing w:line="360" w:lineRule="auto"/>
        <w:jc w:val="center"/>
        <w:rPr>
          <w:rFonts w:ascii="宋体" w:hAnsi="宋体"/>
          <w:b/>
          <w:sz w:val="36"/>
        </w:rPr>
      </w:pPr>
    </w:p>
    <w:p w14:paraId="4A4345B5">
      <w:pPr>
        <w:spacing w:line="360" w:lineRule="auto"/>
        <w:jc w:val="center"/>
        <w:rPr>
          <w:rFonts w:ascii="宋体" w:hAnsi="宋体"/>
          <w:b/>
          <w:sz w:val="36"/>
        </w:rPr>
      </w:pPr>
    </w:p>
    <w:p w14:paraId="25ADCFD0">
      <w:pPr>
        <w:spacing w:line="360" w:lineRule="auto"/>
        <w:jc w:val="center"/>
        <w:rPr>
          <w:rFonts w:ascii="宋体" w:hAnsi="宋体"/>
          <w:b/>
          <w:sz w:val="36"/>
        </w:rPr>
      </w:pPr>
    </w:p>
    <w:p w14:paraId="6B84BC3D">
      <w:pPr>
        <w:spacing w:line="360" w:lineRule="auto"/>
        <w:ind w:firstLine="1619" w:firstLineChars="448"/>
        <w:rPr>
          <w:rFonts w:ascii="宋体" w:hAnsi="宋体"/>
          <w:b/>
          <w:sz w:val="36"/>
          <w:u w:val="single"/>
        </w:rPr>
      </w:pPr>
      <w:r>
        <w:rPr>
          <w:rFonts w:hint="eastAsia" w:ascii="宋体" w:hAnsi="宋体"/>
          <w:b/>
          <w:sz w:val="36"/>
        </w:rPr>
        <w:t>采 购 编 号：</w:t>
      </w:r>
      <w:r>
        <w:rPr>
          <w:rFonts w:hint="eastAsia" w:ascii="宋体" w:hAnsi="宋体"/>
          <w:b/>
          <w:sz w:val="36"/>
          <w:u w:val="single"/>
        </w:rPr>
        <w:t xml:space="preserve">                    </w:t>
      </w:r>
    </w:p>
    <w:p w14:paraId="0F6BCC06">
      <w:pPr>
        <w:spacing w:line="360" w:lineRule="auto"/>
        <w:ind w:firstLine="1619" w:firstLineChars="448"/>
        <w:rPr>
          <w:rFonts w:ascii="宋体" w:hAnsi="宋体"/>
          <w:b/>
          <w:bCs/>
          <w:sz w:val="32"/>
          <w:u w:val="single"/>
        </w:rPr>
      </w:pPr>
      <w:r>
        <w:rPr>
          <w:rFonts w:hint="eastAsia" w:ascii="宋体" w:hAnsi="宋体"/>
          <w:b/>
          <w:sz w:val="36"/>
        </w:rPr>
        <w:t>项 目 名 称：</w:t>
      </w:r>
      <w:r>
        <w:rPr>
          <w:rFonts w:hint="eastAsia" w:ascii="宋体" w:hAnsi="宋体"/>
          <w:b/>
          <w:sz w:val="36"/>
          <w:u w:val="single"/>
        </w:rPr>
        <w:t xml:space="preserve">                    </w:t>
      </w:r>
    </w:p>
    <w:p w14:paraId="6853C3B9">
      <w:pPr>
        <w:spacing w:line="360" w:lineRule="auto"/>
        <w:rPr>
          <w:rFonts w:ascii="宋体" w:hAnsi="宋体"/>
          <w:sz w:val="28"/>
          <w:szCs w:val="28"/>
        </w:rPr>
      </w:pPr>
    </w:p>
    <w:p w14:paraId="2EE8E343">
      <w:pPr>
        <w:pStyle w:val="16"/>
      </w:pPr>
    </w:p>
    <w:p w14:paraId="5C4797A7">
      <w:pPr>
        <w:spacing w:line="360" w:lineRule="auto"/>
        <w:rPr>
          <w:rFonts w:ascii="宋体" w:hAnsi="宋体"/>
          <w:b/>
          <w:sz w:val="36"/>
        </w:rPr>
      </w:pPr>
    </w:p>
    <w:p w14:paraId="4B0C88E5">
      <w:pPr>
        <w:pStyle w:val="16"/>
      </w:pPr>
    </w:p>
    <w:p w14:paraId="13017214">
      <w:pPr>
        <w:spacing w:line="360" w:lineRule="auto"/>
        <w:rPr>
          <w:rFonts w:ascii="宋体" w:hAnsi="宋体"/>
          <w:b/>
          <w:sz w:val="36"/>
        </w:rPr>
      </w:pPr>
    </w:p>
    <w:p w14:paraId="461ECC56">
      <w:pPr>
        <w:spacing w:line="360" w:lineRule="auto"/>
        <w:ind w:firstLine="1438" w:firstLineChars="398"/>
        <w:rPr>
          <w:rFonts w:ascii="宋体" w:hAnsi="宋体"/>
          <w:b/>
          <w:sz w:val="36"/>
          <w:u w:val="single"/>
        </w:rPr>
      </w:pPr>
      <w:r>
        <w:rPr>
          <w:rFonts w:hint="eastAsia" w:ascii="宋体" w:hAnsi="宋体"/>
          <w:b/>
          <w:sz w:val="36"/>
        </w:rPr>
        <w:t xml:space="preserve">  报价供应商名称：</w:t>
      </w:r>
      <w:r>
        <w:rPr>
          <w:rFonts w:hint="eastAsia" w:ascii="宋体" w:hAnsi="宋体"/>
          <w:b/>
          <w:sz w:val="36"/>
          <w:u w:val="single"/>
        </w:rPr>
        <w:t xml:space="preserve">               </w:t>
      </w:r>
    </w:p>
    <w:p w14:paraId="17E5F594">
      <w:pPr>
        <w:spacing w:line="360" w:lineRule="auto"/>
        <w:ind w:firstLine="1438" w:firstLineChars="398"/>
        <w:rPr>
          <w:rFonts w:ascii="宋体" w:hAnsi="宋体"/>
          <w:b/>
          <w:sz w:val="36"/>
        </w:rPr>
      </w:pPr>
      <w:r>
        <w:rPr>
          <w:rFonts w:hint="eastAsia" w:ascii="宋体" w:hAnsi="宋体"/>
          <w:b/>
          <w:sz w:val="36"/>
        </w:rPr>
        <w:t xml:space="preserve">  日      期：</w:t>
      </w:r>
      <w:r>
        <w:rPr>
          <w:rFonts w:hint="eastAsia" w:ascii="宋体" w:hAnsi="宋体"/>
          <w:b/>
          <w:sz w:val="36"/>
          <w:u w:val="single"/>
        </w:rPr>
        <w:t xml:space="preserve">               </w:t>
      </w:r>
    </w:p>
    <w:p w14:paraId="4AE1E9C2">
      <w:pPr>
        <w:widowControl/>
        <w:spacing w:line="400" w:lineRule="exact"/>
        <w:ind w:firstLine="5600" w:firstLineChars="2000"/>
        <w:rPr>
          <w:rFonts w:ascii="宋体" w:hAnsi="宋体" w:cs="宋体"/>
          <w:kern w:val="0"/>
          <w:sz w:val="28"/>
          <w:szCs w:val="28"/>
          <w:shd w:val="clear" w:color="auto" w:fill="FFFFFF"/>
        </w:rPr>
      </w:pPr>
    </w:p>
    <w:p w14:paraId="3A8AA7AF">
      <w:pPr>
        <w:widowControl/>
        <w:spacing w:line="400" w:lineRule="exact"/>
        <w:ind w:firstLine="5600" w:firstLineChars="2000"/>
        <w:rPr>
          <w:rFonts w:ascii="宋体" w:hAnsi="宋体" w:cs="宋体"/>
          <w:kern w:val="0"/>
          <w:sz w:val="28"/>
          <w:szCs w:val="28"/>
          <w:shd w:val="clear" w:color="auto" w:fill="FFFFFF"/>
        </w:rPr>
      </w:pPr>
    </w:p>
    <w:p w14:paraId="1AB4333D">
      <w:pPr>
        <w:widowControl/>
        <w:spacing w:line="400" w:lineRule="exact"/>
        <w:ind w:firstLine="5600" w:firstLineChars="2000"/>
        <w:rPr>
          <w:rFonts w:ascii="宋体" w:hAnsi="宋体" w:cs="宋体"/>
          <w:kern w:val="0"/>
          <w:sz w:val="28"/>
          <w:szCs w:val="28"/>
          <w:shd w:val="clear" w:color="auto" w:fill="FFFFFF"/>
        </w:rPr>
      </w:pPr>
    </w:p>
    <w:p w14:paraId="68857B11">
      <w:pPr>
        <w:pStyle w:val="16"/>
      </w:pPr>
    </w:p>
    <w:p w14:paraId="310E61E1"/>
    <w:p w14:paraId="0D5B3D94">
      <w:pPr>
        <w:widowControl/>
        <w:spacing w:line="400" w:lineRule="exact"/>
        <w:ind w:firstLine="5600" w:firstLineChars="2000"/>
        <w:rPr>
          <w:rFonts w:ascii="宋体" w:hAnsi="宋体" w:cs="宋体"/>
          <w:kern w:val="0"/>
          <w:sz w:val="28"/>
          <w:szCs w:val="28"/>
          <w:shd w:val="clear" w:color="auto" w:fill="FFFFFF"/>
        </w:rPr>
      </w:pPr>
    </w:p>
    <w:p w14:paraId="537A978B">
      <w:pPr>
        <w:spacing w:line="440" w:lineRule="exact"/>
        <w:outlineLvl w:val="0"/>
        <w:rPr>
          <w:rFonts w:ascii="宋体" w:hAnsi="宋体" w:cs="宋体"/>
          <w:sz w:val="28"/>
          <w:szCs w:val="28"/>
        </w:rPr>
      </w:pPr>
      <w:bookmarkStart w:id="70" w:name="_Toc12112"/>
      <w:bookmarkStart w:id="71" w:name="_Toc1376"/>
      <w:bookmarkStart w:id="72" w:name="_Toc14215"/>
      <w:bookmarkStart w:id="73" w:name="_Toc29646"/>
      <w:bookmarkStart w:id="74" w:name="_Toc432513145"/>
      <w:bookmarkStart w:id="75" w:name="_Toc1606"/>
      <w:bookmarkStart w:id="76" w:name="_Toc373141305"/>
      <w:bookmarkStart w:id="77" w:name="_Toc502907889"/>
      <w:bookmarkStart w:id="78" w:name="_Toc393727156"/>
      <w:bookmarkStart w:id="79" w:name="_Toc372013039"/>
      <w:r>
        <w:rPr>
          <w:rFonts w:hint="eastAsia" w:ascii="宋体" w:hAnsi="宋体" w:cs="宋体"/>
          <w:b/>
          <w:sz w:val="28"/>
          <w:szCs w:val="28"/>
        </w:rPr>
        <w:t>格式1                       报   价  书</w:t>
      </w:r>
      <w:bookmarkEnd w:id="70"/>
      <w:bookmarkEnd w:id="71"/>
      <w:bookmarkEnd w:id="72"/>
      <w:bookmarkEnd w:id="73"/>
    </w:p>
    <w:p w14:paraId="69416AD0">
      <w:pPr>
        <w:pStyle w:val="9"/>
        <w:spacing w:line="440" w:lineRule="exact"/>
        <w:rPr>
          <w:rFonts w:ascii="宋体" w:hAnsi="宋体" w:cs="宋体"/>
          <w:szCs w:val="28"/>
        </w:rPr>
      </w:pPr>
    </w:p>
    <w:p w14:paraId="046553D3">
      <w:pPr>
        <w:pStyle w:val="9"/>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泉州师范学院（泉州师范学院图书馆）      </w:t>
      </w:r>
    </w:p>
    <w:p w14:paraId="5A7903F9">
      <w:pPr>
        <w:spacing w:line="360" w:lineRule="auto"/>
        <w:rPr>
          <w:rFonts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 项目招标采购货物及服务的报价邀请，报价代表</w:t>
      </w:r>
      <w:r>
        <w:rPr>
          <w:rFonts w:hint="eastAsia" w:ascii="宋体" w:hAnsi="宋体" w:cs="宋体"/>
          <w:sz w:val="24"/>
          <w:u w:val="single"/>
        </w:rPr>
        <w:t xml:space="preserve">                   </w:t>
      </w:r>
      <w:r>
        <w:rPr>
          <w:rFonts w:hint="eastAsia" w:ascii="宋体" w:hAnsi="宋体" w:cs="宋体"/>
          <w:sz w:val="24"/>
        </w:rPr>
        <w:t>(全名、职务)经正式授权并代表报价供应商</w:t>
      </w:r>
      <w:r>
        <w:rPr>
          <w:rFonts w:hint="eastAsia" w:ascii="宋体" w:hAnsi="宋体" w:cs="宋体"/>
          <w:sz w:val="24"/>
          <w:u w:val="single"/>
        </w:rPr>
        <w:t xml:space="preserve">                   </w:t>
      </w:r>
      <w:r>
        <w:rPr>
          <w:rFonts w:hint="eastAsia" w:ascii="宋体" w:hAnsi="宋体" w:cs="宋体"/>
          <w:sz w:val="24"/>
        </w:rPr>
        <w:t>(报价供应商全称、地址)提交以下文件正本</w:t>
      </w:r>
      <w:r>
        <w:rPr>
          <w:rFonts w:hint="eastAsia" w:ascii="宋体" w:hAnsi="宋体" w:cs="宋体"/>
          <w:sz w:val="24"/>
          <w:u w:val="single"/>
        </w:rPr>
        <w:t xml:space="preserve">      </w:t>
      </w:r>
      <w:r>
        <w:rPr>
          <w:rFonts w:hint="eastAsia" w:ascii="宋体" w:hAnsi="宋体" w:cs="宋体"/>
          <w:sz w:val="24"/>
        </w:rPr>
        <w:t>份和副本</w:t>
      </w:r>
      <w:r>
        <w:rPr>
          <w:rFonts w:hint="eastAsia" w:ascii="宋体" w:hAnsi="宋体" w:cs="宋体"/>
          <w:sz w:val="24"/>
          <w:u w:val="single"/>
        </w:rPr>
        <w:t xml:space="preserve">     </w:t>
      </w:r>
      <w:r>
        <w:rPr>
          <w:rFonts w:hint="eastAsia" w:ascii="宋体" w:hAnsi="宋体" w:cs="宋体"/>
          <w:sz w:val="24"/>
        </w:rPr>
        <w:t>份。</w:t>
      </w:r>
    </w:p>
    <w:p w14:paraId="3013303B">
      <w:pPr>
        <w:spacing w:line="360" w:lineRule="auto"/>
        <w:ind w:firstLine="480" w:firstLineChars="200"/>
        <w:rPr>
          <w:rFonts w:ascii="宋体" w:hAnsi="宋体" w:cs="宋体"/>
          <w:sz w:val="24"/>
        </w:rPr>
      </w:pPr>
      <w:r>
        <w:rPr>
          <w:rFonts w:hint="eastAsia" w:ascii="宋体" w:hAnsi="宋体" w:cs="宋体"/>
          <w:sz w:val="24"/>
        </w:rPr>
        <w:t>(1) 报价书、报价一览表等；</w:t>
      </w:r>
    </w:p>
    <w:p w14:paraId="4EE24DE6">
      <w:pPr>
        <w:spacing w:line="360" w:lineRule="auto"/>
        <w:ind w:firstLine="480" w:firstLineChars="200"/>
        <w:rPr>
          <w:rFonts w:ascii="宋体" w:hAnsi="宋体" w:cs="宋体"/>
          <w:sz w:val="24"/>
        </w:rPr>
      </w:pPr>
      <w:r>
        <w:rPr>
          <w:rFonts w:hint="eastAsia" w:ascii="宋体" w:hAnsi="宋体" w:cs="宋体"/>
          <w:sz w:val="24"/>
        </w:rPr>
        <w:t>(2) 资格证明文件；</w:t>
      </w:r>
    </w:p>
    <w:p w14:paraId="5D273D6E">
      <w:pPr>
        <w:spacing w:line="360" w:lineRule="auto"/>
        <w:ind w:firstLine="480" w:firstLineChars="200"/>
        <w:rPr>
          <w:rFonts w:ascii="宋体" w:hAnsi="宋体" w:cs="宋体"/>
          <w:sz w:val="24"/>
        </w:rPr>
      </w:pPr>
      <w:r>
        <w:rPr>
          <w:rFonts w:hint="eastAsia" w:ascii="宋体" w:hAnsi="宋体" w:cs="宋体"/>
          <w:sz w:val="24"/>
        </w:rPr>
        <w:t>(3) 按报价供应商须知要求提供的全部文件；</w:t>
      </w:r>
    </w:p>
    <w:p w14:paraId="5571F983">
      <w:pPr>
        <w:spacing w:line="360" w:lineRule="auto"/>
        <w:ind w:firstLine="480" w:firstLineChars="200"/>
        <w:rPr>
          <w:rFonts w:ascii="宋体" w:hAnsi="宋体" w:cs="宋体"/>
          <w:sz w:val="24"/>
        </w:rPr>
      </w:pPr>
      <w:r>
        <w:rPr>
          <w:rFonts w:hint="eastAsia" w:ascii="宋体" w:hAnsi="宋体" w:cs="宋体"/>
          <w:sz w:val="24"/>
        </w:rPr>
        <w:t>(4) 按询价文件要求提供的有关必要文件；</w:t>
      </w:r>
    </w:p>
    <w:p w14:paraId="3A484FFA">
      <w:pPr>
        <w:spacing w:line="360" w:lineRule="auto"/>
        <w:ind w:firstLine="480" w:firstLineChars="200"/>
        <w:rPr>
          <w:rFonts w:ascii="宋体" w:hAnsi="宋体" w:cs="宋体"/>
          <w:sz w:val="24"/>
        </w:rPr>
      </w:pPr>
      <w:r>
        <w:rPr>
          <w:rFonts w:hint="eastAsia" w:ascii="宋体" w:hAnsi="宋体" w:cs="宋体"/>
          <w:sz w:val="24"/>
        </w:rPr>
        <w:t>(5) 报价供应商认为需加以说明的其它文件；</w:t>
      </w:r>
    </w:p>
    <w:p w14:paraId="12FE1FD1">
      <w:pPr>
        <w:spacing w:line="360" w:lineRule="auto"/>
        <w:rPr>
          <w:rFonts w:ascii="宋体" w:hAnsi="宋体" w:cs="宋体"/>
          <w:sz w:val="24"/>
        </w:rPr>
      </w:pPr>
      <w:r>
        <w:rPr>
          <w:rFonts w:hint="eastAsia" w:ascii="宋体" w:hAnsi="宋体" w:cs="宋体"/>
          <w:sz w:val="24"/>
        </w:rPr>
        <w:t xml:space="preserve">    据此函，报价供应商同意遵守如下条款：</w:t>
      </w:r>
    </w:p>
    <w:p w14:paraId="05047506">
      <w:pPr>
        <w:spacing w:line="360" w:lineRule="auto"/>
        <w:ind w:firstLine="480" w:firstLineChars="200"/>
        <w:rPr>
          <w:rFonts w:ascii="宋体" w:hAnsi="宋体" w:cs="宋体"/>
          <w:sz w:val="24"/>
        </w:rPr>
      </w:pPr>
      <w:r>
        <w:rPr>
          <w:rFonts w:hint="eastAsia" w:ascii="宋体" w:hAnsi="宋体" w:cs="宋体"/>
          <w:sz w:val="24"/>
        </w:rPr>
        <w:t>1、所附“报价一览表”规定的应提供和支付的服务，报价为人民币</w:t>
      </w:r>
      <w:r>
        <w:rPr>
          <w:rFonts w:hint="eastAsia" w:ascii="宋体" w:hAnsi="宋体" w:cs="宋体"/>
          <w:sz w:val="24"/>
          <w:u w:val="single"/>
        </w:rPr>
        <w:t>　　　　　　</w:t>
      </w:r>
      <w:r>
        <w:rPr>
          <w:rFonts w:hint="eastAsia" w:ascii="宋体" w:hAnsi="宋体" w:cs="宋体"/>
          <w:sz w:val="24"/>
        </w:rPr>
        <w:t>。</w:t>
      </w:r>
    </w:p>
    <w:p w14:paraId="63E34DE4">
      <w:pPr>
        <w:spacing w:line="360" w:lineRule="auto"/>
        <w:ind w:firstLine="480" w:firstLineChars="200"/>
        <w:rPr>
          <w:rFonts w:ascii="宋体" w:hAnsi="宋体" w:cs="宋体"/>
          <w:sz w:val="24"/>
        </w:rPr>
      </w:pPr>
      <w:r>
        <w:rPr>
          <w:rFonts w:hint="eastAsia" w:ascii="宋体" w:hAnsi="宋体" w:cs="宋体"/>
          <w:sz w:val="24"/>
        </w:rPr>
        <w:t>2、报价供应商将按询价文件规定履行合同责任和义务。</w:t>
      </w:r>
    </w:p>
    <w:p w14:paraId="225B720A">
      <w:pPr>
        <w:spacing w:line="360" w:lineRule="auto"/>
        <w:ind w:firstLine="480" w:firstLineChars="200"/>
        <w:rPr>
          <w:rFonts w:ascii="宋体" w:hAnsi="宋体" w:cs="宋体"/>
          <w:sz w:val="24"/>
        </w:rPr>
      </w:pPr>
      <w:r>
        <w:rPr>
          <w:rFonts w:hint="eastAsia" w:ascii="宋体" w:hAnsi="宋体" w:cs="宋体"/>
          <w:sz w:val="24"/>
        </w:rPr>
        <w:t>3、报价供应商已详细审查全部询价文件，包括修改文件（如有的话）以及全部参考资料和相关附件。我们完全理解并同意放弃对这方面有不明及误解的权利。</w:t>
      </w:r>
    </w:p>
    <w:p w14:paraId="2EDE6553">
      <w:pPr>
        <w:spacing w:line="360" w:lineRule="auto"/>
        <w:ind w:firstLine="480" w:firstLineChars="200"/>
        <w:rPr>
          <w:rFonts w:ascii="宋体" w:hAnsi="宋体" w:cs="宋体"/>
          <w:sz w:val="24"/>
        </w:rPr>
      </w:pPr>
      <w:r>
        <w:rPr>
          <w:rFonts w:hint="eastAsia" w:ascii="宋体" w:hAnsi="宋体" w:cs="宋体"/>
          <w:sz w:val="24"/>
        </w:rPr>
        <w:t>4、本次报价有效期在本询价文件中所规定的时间内保持有效。</w:t>
      </w:r>
    </w:p>
    <w:p w14:paraId="4AD0A436">
      <w:pPr>
        <w:spacing w:line="360" w:lineRule="auto"/>
        <w:ind w:firstLine="480" w:firstLineChars="200"/>
        <w:rPr>
          <w:rFonts w:ascii="宋体" w:hAnsi="宋体" w:cs="宋体"/>
          <w:sz w:val="24"/>
        </w:rPr>
      </w:pPr>
      <w:r>
        <w:rPr>
          <w:rFonts w:hint="eastAsia" w:ascii="宋体" w:hAnsi="宋体" w:cs="宋体"/>
          <w:sz w:val="24"/>
        </w:rPr>
        <w:t>5、如果在规定的评审时间后，报价供应商在报价有效期内撤回报价，其报价保证金将不予退还。</w:t>
      </w:r>
    </w:p>
    <w:p w14:paraId="63F300F4">
      <w:pPr>
        <w:spacing w:line="360" w:lineRule="auto"/>
        <w:ind w:firstLine="480" w:firstLineChars="200"/>
        <w:rPr>
          <w:rFonts w:ascii="宋体" w:hAnsi="宋体" w:cs="宋体"/>
          <w:b/>
          <w:spacing w:val="-4"/>
          <w:sz w:val="24"/>
        </w:rPr>
      </w:pPr>
      <w:r>
        <w:rPr>
          <w:rFonts w:hint="eastAsia" w:ascii="宋体" w:hAnsi="宋体" w:cs="宋体"/>
          <w:sz w:val="24"/>
        </w:rPr>
        <w:t>6、报价供应商</w:t>
      </w:r>
      <w:r>
        <w:rPr>
          <w:rFonts w:hint="eastAsia" w:ascii="宋体" w:hAnsi="宋体" w:cs="宋体"/>
          <w:spacing w:val="-4"/>
          <w:sz w:val="24"/>
        </w:rPr>
        <w:t>同意提供按照采购代理机构可能要求的与其报价有关的一切数据或资料，完全理解采购代理机构不一定要接受最低价的报价或逾期收到的任何报价。</w:t>
      </w:r>
    </w:p>
    <w:p w14:paraId="36A2609F">
      <w:pPr>
        <w:spacing w:line="360" w:lineRule="auto"/>
        <w:ind w:firstLine="464" w:firstLineChars="200"/>
        <w:rPr>
          <w:rFonts w:ascii="宋体" w:hAnsi="宋体" w:cs="宋体"/>
          <w:spacing w:val="-4"/>
          <w:sz w:val="24"/>
        </w:rPr>
      </w:pPr>
      <w:r>
        <w:rPr>
          <w:rFonts w:hint="eastAsia" w:ascii="宋体" w:hAnsi="宋体" w:cs="宋体"/>
          <w:spacing w:val="-4"/>
          <w:sz w:val="24"/>
        </w:rPr>
        <w:t>7、与本报价有关的一切正式往来通讯请寄：</w:t>
      </w:r>
    </w:p>
    <w:p w14:paraId="3AE3D099">
      <w:pPr>
        <w:spacing w:line="360" w:lineRule="auto"/>
        <w:ind w:firstLine="464" w:firstLineChars="200"/>
        <w:rPr>
          <w:rFonts w:ascii="宋体" w:hAnsi="宋体" w:cs="宋体"/>
          <w:spacing w:val="-4"/>
          <w:sz w:val="24"/>
        </w:rPr>
      </w:pPr>
      <w:r>
        <w:rPr>
          <w:rFonts w:hint="eastAsia" w:ascii="宋体" w:hAnsi="宋体" w:cs="宋体"/>
          <w:spacing w:val="-4"/>
          <w:sz w:val="24"/>
        </w:rPr>
        <w:t>地址：</w:t>
      </w:r>
      <w:r>
        <w:rPr>
          <w:rFonts w:hint="eastAsia" w:ascii="宋体" w:hAnsi="宋体" w:cs="宋体"/>
          <w:spacing w:val="-4"/>
          <w:sz w:val="24"/>
          <w:u w:val="single"/>
        </w:rPr>
        <w:t xml:space="preserve">                          </w:t>
      </w:r>
      <w:r>
        <w:rPr>
          <w:rFonts w:hint="eastAsia" w:ascii="宋体" w:hAnsi="宋体" w:cs="宋体"/>
          <w:spacing w:val="-4"/>
          <w:sz w:val="24"/>
        </w:rPr>
        <w:t xml:space="preserve">  邮编：</w:t>
      </w:r>
      <w:r>
        <w:rPr>
          <w:rFonts w:hint="eastAsia" w:ascii="宋体" w:hAnsi="宋体" w:cs="宋体"/>
          <w:spacing w:val="-4"/>
          <w:sz w:val="24"/>
          <w:u w:val="single"/>
        </w:rPr>
        <w:t xml:space="preserve">             </w:t>
      </w:r>
    </w:p>
    <w:p w14:paraId="334A51D7">
      <w:pPr>
        <w:spacing w:line="360" w:lineRule="auto"/>
        <w:ind w:firstLine="464" w:firstLineChars="200"/>
        <w:rPr>
          <w:rFonts w:ascii="宋体" w:hAnsi="宋体" w:cs="宋体"/>
          <w:spacing w:val="-4"/>
          <w:sz w:val="24"/>
        </w:rPr>
      </w:pPr>
      <w:r>
        <w:rPr>
          <w:rFonts w:hint="eastAsia" w:ascii="宋体" w:hAnsi="宋体" w:cs="宋体"/>
          <w:spacing w:val="-4"/>
          <w:sz w:val="24"/>
        </w:rPr>
        <w:t>电话：</w:t>
      </w:r>
      <w:r>
        <w:rPr>
          <w:rFonts w:hint="eastAsia" w:ascii="宋体" w:hAnsi="宋体" w:cs="宋体"/>
          <w:spacing w:val="-4"/>
          <w:sz w:val="24"/>
          <w:u w:val="single"/>
        </w:rPr>
        <w:t xml:space="preserve">                          </w:t>
      </w:r>
      <w:r>
        <w:rPr>
          <w:rFonts w:hint="eastAsia" w:ascii="宋体" w:hAnsi="宋体" w:cs="宋体"/>
          <w:spacing w:val="-4"/>
          <w:sz w:val="24"/>
        </w:rPr>
        <w:t xml:space="preserve">  传真：</w:t>
      </w:r>
      <w:r>
        <w:rPr>
          <w:rFonts w:hint="eastAsia" w:ascii="宋体" w:hAnsi="宋体" w:cs="宋体"/>
          <w:spacing w:val="-4"/>
          <w:sz w:val="24"/>
          <w:u w:val="single"/>
        </w:rPr>
        <w:t xml:space="preserve">             </w:t>
      </w:r>
    </w:p>
    <w:p w14:paraId="200650C2">
      <w:pPr>
        <w:spacing w:line="360" w:lineRule="auto"/>
        <w:ind w:firstLine="464" w:firstLineChars="200"/>
        <w:rPr>
          <w:rFonts w:ascii="宋体" w:hAnsi="宋体" w:cs="宋体"/>
          <w:spacing w:val="-4"/>
          <w:sz w:val="24"/>
          <w:u w:val="single"/>
        </w:rPr>
      </w:pPr>
      <w:r>
        <w:rPr>
          <w:rFonts w:hint="eastAsia" w:ascii="宋体" w:hAnsi="宋体" w:cs="宋体"/>
          <w:spacing w:val="-4"/>
          <w:sz w:val="24"/>
        </w:rPr>
        <w:t>报价代表姓名、职务(印刷体)：</w:t>
      </w:r>
      <w:r>
        <w:rPr>
          <w:rFonts w:hint="eastAsia" w:ascii="宋体" w:hAnsi="宋体" w:cs="宋体"/>
          <w:spacing w:val="-4"/>
          <w:sz w:val="24"/>
          <w:u w:val="single"/>
        </w:rPr>
        <w:t xml:space="preserve">                         </w:t>
      </w:r>
    </w:p>
    <w:p w14:paraId="7FA06F7D">
      <w:pPr>
        <w:spacing w:line="360" w:lineRule="auto"/>
        <w:ind w:firstLine="464" w:firstLineChars="200"/>
        <w:rPr>
          <w:rFonts w:ascii="宋体" w:hAnsi="宋体" w:cs="宋体"/>
          <w:spacing w:val="-4"/>
          <w:sz w:val="24"/>
        </w:rPr>
      </w:pPr>
      <w:r>
        <w:rPr>
          <w:rFonts w:hint="eastAsia" w:ascii="宋体" w:hAnsi="宋体" w:cs="宋体"/>
          <w:spacing w:val="-4"/>
          <w:sz w:val="24"/>
        </w:rPr>
        <w:t>报价代表签字：</w:t>
      </w:r>
      <w:r>
        <w:rPr>
          <w:rFonts w:hint="eastAsia" w:ascii="宋体" w:hAnsi="宋体" w:cs="宋体"/>
          <w:spacing w:val="-4"/>
          <w:sz w:val="24"/>
          <w:u w:val="single"/>
        </w:rPr>
        <w:t xml:space="preserve">                 </w:t>
      </w:r>
    </w:p>
    <w:p w14:paraId="7CC86EEA">
      <w:pPr>
        <w:spacing w:line="360" w:lineRule="auto"/>
        <w:ind w:firstLine="464" w:firstLineChars="200"/>
        <w:rPr>
          <w:rFonts w:ascii="宋体" w:hAnsi="宋体" w:cs="宋体"/>
          <w:spacing w:val="-4"/>
          <w:sz w:val="24"/>
        </w:rPr>
      </w:pPr>
      <w:r>
        <w:rPr>
          <w:rFonts w:hint="eastAsia" w:ascii="宋体" w:hAnsi="宋体" w:cs="宋体"/>
          <w:spacing w:val="-4"/>
          <w:sz w:val="24"/>
        </w:rPr>
        <w:t>报价供应商全称（加盖公章）：</w:t>
      </w:r>
      <w:r>
        <w:rPr>
          <w:rFonts w:hint="eastAsia" w:ascii="宋体" w:hAnsi="宋体" w:cs="宋体"/>
          <w:spacing w:val="-4"/>
          <w:sz w:val="24"/>
          <w:u w:val="single"/>
        </w:rPr>
        <w:t xml:space="preserve">                          </w:t>
      </w:r>
    </w:p>
    <w:p w14:paraId="6736D55B">
      <w:pPr>
        <w:spacing w:line="360" w:lineRule="auto"/>
        <w:ind w:firstLine="464" w:firstLineChars="200"/>
        <w:rPr>
          <w:rFonts w:ascii="宋体" w:hAnsi="宋体" w:cs="宋体"/>
          <w:spacing w:val="-4"/>
          <w:sz w:val="24"/>
        </w:rPr>
      </w:pPr>
      <w:r>
        <w:rPr>
          <w:rFonts w:hint="eastAsia" w:ascii="宋体" w:hAnsi="宋体" w:cs="宋体"/>
          <w:spacing w:val="-4"/>
          <w:sz w:val="24"/>
        </w:rPr>
        <w:t>日期：</w:t>
      </w:r>
      <w:r>
        <w:rPr>
          <w:rFonts w:hint="eastAsia" w:ascii="宋体" w:hAnsi="宋体" w:cs="宋体"/>
          <w:spacing w:val="-4"/>
          <w:sz w:val="24"/>
          <w:u w:val="single"/>
        </w:rPr>
        <w:t xml:space="preserve">    </w:t>
      </w:r>
      <w:r>
        <w:rPr>
          <w:rFonts w:hint="eastAsia" w:ascii="宋体" w:hAnsi="宋体" w:cs="宋体"/>
          <w:spacing w:val="-4"/>
          <w:sz w:val="24"/>
        </w:rPr>
        <w:t>年</w:t>
      </w:r>
      <w:r>
        <w:rPr>
          <w:rFonts w:hint="eastAsia" w:ascii="宋体" w:hAnsi="宋体" w:cs="宋体"/>
          <w:spacing w:val="-4"/>
          <w:sz w:val="24"/>
          <w:u w:val="single"/>
        </w:rPr>
        <w:t xml:space="preserve">   </w:t>
      </w:r>
      <w:r>
        <w:rPr>
          <w:rFonts w:hint="eastAsia" w:ascii="宋体" w:hAnsi="宋体" w:cs="宋体"/>
          <w:spacing w:val="-4"/>
          <w:sz w:val="24"/>
        </w:rPr>
        <w:t>月</w:t>
      </w:r>
      <w:r>
        <w:rPr>
          <w:rFonts w:hint="eastAsia" w:ascii="宋体" w:hAnsi="宋体" w:cs="宋体"/>
          <w:spacing w:val="-4"/>
          <w:sz w:val="24"/>
          <w:u w:val="single"/>
        </w:rPr>
        <w:t xml:space="preserve">   </w:t>
      </w:r>
      <w:r>
        <w:rPr>
          <w:rFonts w:hint="eastAsia" w:ascii="宋体" w:hAnsi="宋体" w:cs="宋体"/>
          <w:spacing w:val="-4"/>
          <w:sz w:val="24"/>
        </w:rPr>
        <w:t xml:space="preserve">日 </w:t>
      </w:r>
    </w:p>
    <w:p w14:paraId="6E7041BE">
      <w:pPr>
        <w:pStyle w:val="18"/>
        <w:ind w:firstLine="210"/>
      </w:pPr>
    </w:p>
    <w:p w14:paraId="0F6A4FA4">
      <w:pPr>
        <w:spacing w:line="440" w:lineRule="exact"/>
        <w:rPr>
          <w:rFonts w:ascii="宋体" w:hAnsi="宋体" w:cs="宋体"/>
          <w:b/>
          <w:sz w:val="28"/>
          <w:szCs w:val="28"/>
        </w:rPr>
      </w:pPr>
    </w:p>
    <w:p w14:paraId="3AFC1A95">
      <w:pPr>
        <w:pStyle w:val="2"/>
        <w:rPr>
          <w:color w:val="auto"/>
        </w:rPr>
      </w:pPr>
    </w:p>
    <w:p w14:paraId="54A6DB61">
      <w:pPr>
        <w:spacing w:line="440" w:lineRule="exact"/>
        <w:outlineLvl w:val="0"/>
        <w:rPr>
          <w:rFonts w:ascii="宋体" w:hAnsi="宋体" w:cs="宋体"/>
          <w:sz w:val="28"/>
          <w:szCs w:val="28"/>
        </w:rPr>
      </w:pPr>
      <w:r>
        <w:rPr>
          <w:rFonts w:hint="eastAsia" w:ascii="宋体" w:hAnsi="宋体" w:cs="宋体"/>
          <w:b/>
          <w:sz w:val="28"/>
          <w:szCs w:val="28"/>
        </w:rPr>
        <w:t xml:space="preserve"> </w:t>
      </w:r>
      <w:bookmarkEnd w:id="74"/>
      <w:bookmarkEnd w:id="75"/>
      <w:bookmarkEnd w:id="76"/>
      <w:bookmarkEnd w:id="77"/>
      <w:bookmarkEnd w:id="78"/>
      <w:bookmarkEnd w:id="79"/>
      <w:bookmarkStart w:id="80" w:name="_Toc26916"/>
      <w:bookmarkStart w:id="81" w:name="_Toc20566"/>
      <w:bookmarkStart w:id="82" w:name="_Toc13976"/>
      <w:bookmarkStart w:id="83" w:name="_Toc4358"/>
      <w:r>
        <w:rPr>
          <w:rFonts w:hint="eastAsia" w:ascii="宋体" w:hAnsi="宋体" w:cs="宋体"/>
          <w:b/>
          <w:sz w:val="28"/>
          <w:szCs w:val="28"/>
        </w:rPr>
        <w:t>格式2                       报价一览表</w:t>
      </w:r>
      <w:bookmarkEnd w:id="80"/>
      <w:bookmarkEnd w:id="81"/>
      <w:bookmarkEnd w:id="82"/>
      <w:bookmarkEnd w:id="83"/>
    </w:p>
    <w:p w14:paraId="425CEFD0">
      <w:pPr>
        <w:spacing w:line="440" w:lineRule="exact"/>
        <w:rPr>
          <w:rFonts w:ascii="宋体" w:hAnsi="宋体" w:cs="宋体"/>
          <w:sz w:val="28"/>
          <w:szCs w:val="28"/>
        </w:rPr>
      </w:pPr>
    </w:p>
    <w:p w14:paraId="7D42D72E">
      <w:pPr>
        <w:spacing w:line="360" w:lineRule="auto"/>
        <w:ind w:firstLine="240" w:firstLineChars="100"/>
        <w:rPr>
          <w:rFonts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35763803">
      <w:pPr>
        <w:spacing w:line="360" w:lineRule="auto"/>
        <w:ind w:firstLine="240" w:firstLineChars="1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tbl>
      <w:tblPr>
        <w:tblStyle w:val="20"/>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14:paraId="6E78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1E16512F">
            <w:pPr>
              <w:pStyle w:val="17"/>
              <w:tabs>
                <w:tab w:val="left" w:pos="8360"/>
              </w:tabs>
              <w:spacing w:line="360" w:lineRule="exact"/>
              <w:jc w:val="center"/>
              <w:rPr>
                <w:rFonts w:hAnsi="宋体" w:cs="宋体"/>
                <w:b/>
                <w:sz w:val="24"/>
                <w:szCs w:val="24"/>
              </w:rPr>
            </w:pPr>
            <w:r>
              <w:rPr>
                <w:rFonts w:hint="eastAsia" w:hAnsi="宋体" w:cs="宋体"/>
                <w:b/>
                <w:sz w:val="24"/>
                <w:szCs w:val="24"/>
              </w:rPr>
              <w:t>合同号</w:t>
            </w:r>
          </w:p>
        </w:tc>
        <w:tc>
          <w:tcPr>
            <w:tcW w:w="3552" w:type="dxa"/>
            <w:tcBorders>
              <w:top w:val="single" w:color="auto" w:sz="4" w:space="0"/>
              <w:left w:val="single" w:color="auto" w:sz="4" w:space="0"/>
              <w:bottom w:val="single" w:color="auto" w:sz="4" w:space="0"/>
              <w:right w:val="single" w:color="auto" w:sz="4" w:space="0"/>
            </w:tcBorders>
            <w:vAlign w:val="center"/>
          </w:tcPr>
          <w:p w14:paraId="2D959D60">
            <w:pPr>
              <w:pStyle w:val="17"/>
              <w:tabs>
                <w:tab w:val="left" w:pos="8360"/>
              </w:tabs>
              <w:spacing w:line="360" w:lineRule="exact"/>
              <w:jc w:val="center"/>
              <w:rPr>
                <w:rFonts w:hAnsi="宋体" w:cs="宋体"/>
                <w:b/>
                <w:sz w:val="24"/>
                <w:szCs w:val="24"/>
              </w:rPr>
            </w:pPr>
            <w:r>
              <w:rPr>
                <w:rFonts w:hint="eastAsia" w:hAnsi="宋体" w:cs="宋体"/>
                <w:b/>
                <w:sz w:val="24"/>
                <w:szCs w:val="24"/>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14:paraId="6FFD62D8">
            <w:pPr>
              <w:pStyle w:val="17"/>
              <w:tabs>
                <w:tab w:val="left" w:pos="8360"/>
              </w:tabs>
              <w:spacing w:line="360" w:lineRule="exact"/>
              <w:jc w:val="center"/>
              <w:rPr>
                <w:rFonts w:hAnsi="宋体" w:cs="宋体"/>
                <w:b/>
                <w:sz w:val="24"/>
                <w:szCs w:val="24"/>
              </w:rPr>
            </w:pPr>
            <w:r>
              <w:rPr>
                <w:rFonts w:hint="eastAsia" w:hAnsi="宋体" w:cs="宋体"/>
                <w:b/>
                <w:sz w:val="24"/>
                <w:szCs w:val="24"/>
              </w:rPr>
              <w:t>数量</w:t>
            </w:r>
          </w:p>
        </w:tc>
        <w:tc>
          <w:tcPr>
            <w:tcW w:w="3220" w:type="dxa"/>
            <w:tcBorders>
              <w:top w:val="single" w:color="auto" w:sz="4" w:space="0"/>
              <w:left w:val="single" w:color="auto" w:sz="4" w:space="0"/>
              <w:bottom w:val="single" w:color="auto" w:sz="4" w:space="0"/>
              <w:right w:val="single" w:color="auto" w:sz="4" w:space="0"/>
            </w:tcBorders>
            <w:vAlign w:val="center"/>
          </w:tcPr>
          <w:p w14:paraId="0A9D0922">
            <w:pPr>
              <w:pStyle w:val="17"/>
              <w:tabs>
                <w:tab w:val="left" w:pos="8360"/>
              </w:tabs>
              <w:spacing w:line="360" w:lineRule="exact"/>
              <w:jc w:val="center"/>
              <w:rPr>
                <w:rFonts w:hAnsi="宋体" w:cs="宋体"/>
                <w:b/>
                <w:sz w:val="24"/>
                <w:szCs w:val="24"/>
              </w:rPr>
            </w:pPr>
            <w:r>
              <w:rPr>
                <w:rFonts w:hint="eastAsia" w:hAnsi="宋体" w:cs="宋体"/>
                <w:b/>
                <w:sz w:val="24"/>
                <w:szCs w:val="24"/>
              </w:rPr>
              <w:t>报价（元）</w:t>
            </w:r>
          </w:p>
        </w:tc>
      </w:tr>
      <w:tr w14:paraId="39C4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3FD2C9C3">
            <w:pPr>
              <w:widowControl/>
              <w:spacing w:line="360" w:lineRule="exact"/>
              <w:jc w:val="center"/>
              <w:rPr>
                <w:rFonts w:ascii="宋体" w:hAnsi="宋体" w:cs="宋体"/>
                <w:sz w:val="24"/>
              </w:rPr>
            </w:pPr>
            <w:r>
              <w:rPr>
                <w:rFonts w:hint="eastAsia" w:ascii="宋体" w:hAnsi="宋体" w:cs="宋体"/>
                <w:sz w:val="24"/>
              </w:rPr>
              <w:t>1</w:t>
            </w:r>
          </w:p>
        </w:tc>
        <w:tc>
          <w:tcPr>
            <w:tcW w:w="3552" w:type="dxa"/>
            <w:tcBorders>
              <w:top w:val="single" w:color="auto" w:sz="4" w:space="0"/>
              <w:left w:val="single" w:color="auto" w:sz="4" w:space="0"/>
              <w:bottom w:val="single" w:color="auto" w:sz="4" w:space="0"/>
              <w:right w:val="single" w:color="auto" w:sz="4" w:space="0"/>
            </w:tcBorders>
            <w:vAlign w:val="center"/>
          </w:tcPr>
          <w:p w14:paraId="667ADF17">
            <w:pPr>
              <w:pStyle w:val="15"/>
              <w:widowControl/>
              <w:spacing w:line="440" w:lineRule="exact"/>
              <w:jc w:val="center"/>
              <w:rPr>
                <w:rFonts w:ascii="宋体" w:hAnsi="宋体" w:cs="宋体"/>
              </w:rPr>
            </w:pPr>
          </w:p>
        </w:tc>
        <w:tc>
          <w:tcPr>
            <w:tcW w:w="972" w:type="dxa"/>
            <w:tcBorders>
              <w:top w:val="single" w:color="auto" w:sz="4" w:space="0"/>
              <w:left w:val="single" w:color="auto" w:sz="4" w:space="0"/>
              <w:bottom w:val="single" w:color="auto" w:sz="4" w:space="0"/>
              <w:right w:val="single" w:color="auto" w:sz="4" w:space="0"/>
            </w:tcBorders>
            <w:vAlign w:val="center"/>
          </w:tcPr>
          <w:p w14:paraId="47B688BF">
            <w:pPr>
              <w:pStyle w:val="15"/>
              <w:widowControl/>
              <w:spacing w:line="440" w:lineRule="exact"/>
              <w:jc w:val="center"/>
              <w:rPr>
                <w:rFonts w:ascii="宋体" w:hAnsi="宋体" w:cs="宋体"/>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14:paraId="017C3DA5">
            <w:pPr>
              <w:pStyle w:val="11"/>
              <w:tabs>
                <w:tab w:val="left" w:pos="8360"/>
              </w:tabs>
              <w:spacing w:line="360" w:lineRule="exact"/>
              <w:jc w:val="center"/>
              <w:rPr>
                <w:rFonts w:ascii="宋体" w:hAnsi="宋体" w:cs="宋体"/>
                <w:sz w:val="24"/>
                <w:szCs w:val="24"/>
                <w:u w:val="single"/>
              </w:rPr>
            </w:pPr>
          </w:p>
        </w:tc>
      </w:tr>
    </w:tbl>
    <w:p w14:paraId="7EB1FBDC">
      <w:pPr>
        <w:pStyle w:val="2"/>
        <w:rPr>
          <w:rFonts w:ascii="宋体" w:hAnsi="宋体" w:eastAsia="宋体" w:cs="宋体"/>
          <w:color w:val="auto"/>
          <w:u w:val="single"/>
        </w:rPr>
      </w:pPr>
    </w:p>
    <w:p w14:paraId="2E06E67D">
      <w:pPr>
        <w:pStyle w:val="2"/>
        <w:rPr>
          <w:rFonts w:ascii="宋体" w:hAnsi="宋体" w:eastAsia="宋体" w:cs="宋体"/>
          <w:color w:val="auto"/>
          <w:u w:val="single"/>
        </w:rPr>
      </w:pPr>
    </w:p>
    <w:p w14:paraId="1414D03E">
      <w:pPr>
        <w:pStyle w:val="2"/>
        <w:rPr>
          <w:rFonts w:ascii="宋体" w:hAnsi="宋体" w:eastAsia="宋体" w:cs="宋体"/>
          <w:color w:val="auto"/>
          <w:u w:val="single"/>
        </w:rPr>
      </w:pPr>
    </w:p>
    <w:p w14:paraId="2794963D">
      <w:pPr>
        <w:pStyle w:val="2"/>
        <w:rPr>
          <w:rFonts w:ascii="宋体" w:hAnsi="宋体" w:eastAsia="宋体" w:cs="宋体"/>
          <w:color w:val="auto"/>
          <w:u w:val="single"/>
        </w:rPr>
      </w:pPr>
    </w:p>
    <w:p w14:paraId="67B8AB1E">
      <w:pPr>
        <w:pStyle w:val="2"/>
        <w:rPr>
          <w:rFonts w:ascii="宋体" w:hAnsi="宋体" w:eastAsia="宋体" w:cs="宋体"/>
          <w:color w:val="auto"/>
          <w:u w:val="single"/>
        </w:rPr>
      </w:pPr>
    </w:p>
    <w:p w14:paraId="2909D7F8">
      <w:pPr>
        <w:spacing w:line="360" w:lineRule="auto"/>
        <w:ind w:firstLine="2400" w:firstLineChars="1000"/>
        <w:rPr>
          <w:rFonts w:ascii="宋体" w:hAnsi="宋体" w:cs="宋体"/>
          <w:sz w:val="24"/>
        </w:rPr>
      </w:pPr>
    </w:p>
    <w:p w14:paraId="2C0DC16E">
      <w:pPr>
        <w:spacing w:line="360" w:lineRule="auto"/>
        <w:ind w:firstLine="2400" w:firstLineChars="1000"/>
        <w:rPr>
          <w:rFonts w:ascii="宋体" w:hAnsi="宋体" w:cs="宋体"/>
          <w:sz w:val="24"/>
        </w:rPr>
      </w:pPr>
    </w:p>
    <w:p w14:paraId="40352AFC">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443F20C2">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32EA185D">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6DFF85DE">
      <w:pPr>
        <w:spacing w:line="360" w:lineRule="auto"/>
        <w:rPr>
          <w:rFonts w:ascii="宋体" w:hAnsi="宋体" w:cs="宋体"/>
          <w:sz w:val="24"/>
        </w:rPr>
      </w:pPr>
    </w:p>
    <w:p w14:paraId="5F029291">
      <w:pPr>
        <w:spacing w:line="360" w:lineRule="auto"/>
        <w:rPr>
          <w:rFonts w:ascii="宋体" w:hAnsi="宋体" w:cs="宋体"/>
          <w:sz w:val="24"/>
        </w:rPr>
      </w:pPr>
    </w:p>
    <w:p w14:paraId="183BA951">
      <w:pPr>
        <w:rPr>
          <w:rFonts w:ascii="宋体" w:hAnsi="宋体" w:cs="宋体"/>
          <w:sz w:val="28"/>
          <w:szCs w:val="28"/>
        </w:rPr>
      </w:pPr>
    </w:p>
    <w:p w14:paraId="67217307">
      <w:pPr>
        <w:rPr>
          <w:rFonts w:ascii="宋体" w:hAnsi="宋体" w:cs="宋体"/>
          <w:sz w:val="28"/>
          <w:szCs w:val="28"/>
        </w:rPr>
      </w:pPr>
    </w:p>
    <w:p w14:paraId="2EB539BD">
      <w:pPr>
        <w:rPr>
          <w:rFonts w:ascii="宋体" w:hAnsi="宋体" w:cs="宋体"/>
          <w:sz w:val="28"/>
          <w:szCs w:val="28"/>
        </w:rPr>
      </w:pPr>
    </w:p>
    <w:p w14:paraId="6EEB8A87">
      <w:pPr>
        <w:rPr>
          <w:rFonts w:ascii="宋体" w:hAnsi="宋体" w:cs="宋体"/>
          <w:sz w:val="28"/>
          <w:szCs w:val="28"/>
        </w:rPr>
      </w:pPr>
    </w:p>
    <w:p w14:paraId="19FB2EE1">
      <w:pPr>
        <w:pStyle w:val="18"/>
        <w:ind w:firstLine="280"/>
        <w:rPr>
          <w:rFonts w:ascii="宋体" w:hAnsi="宋体" w:cs="宋体"/>
          <w:sz w:val="28"/>
          <w:szCs w:val="28"/>
        </w:rPr>
      </w:pPr>
    </w:p>
    <w:p w14:paraId="551F5478">
      <w:pPr>
        <w:pStyle w:val="18"/>
        <w:ind w:firstLine="280"/>
        <w:rPr>
          <w:rFonts w:ascii="宋体" w:hAnsi="宋体" w:cs="宋体"/>
          <w:sz w:val="28"/>
          <w:szCs w:val="28"/>
        </w:rPr>
      </w:pPr>
    </w:p>
    <w:p w14:paraId="6AD98EE2">
      <w:pPr>
        <w:pStyle w:val="18"/>
        <w:ind w:firstLine="280"/>
        <w:rPr>
          <w:rFonts w:ascii="宋体" w:hAnsi="宋体" w:cs="宋体"/>
          <w:sz w:val="28"/>
          <w:szCs w:val="28"/>
        </w:rPr>
      </w:pPr>
    </w:p>
    <w:p w14:paraId="68DE7E9F">
      <w:pPr>
        <w:pStyle w:val="18"/>
        <w:ind w:firstLine="280"/>
        <w:rPr>
          <w:rFonts w:ascii="宋体" w:hAnsi="宋体" w:cs="宋体"/>
          <w:sz w:val="28"/>
          <w:szCs w:val="28"/>
        </w:rPr>
      </w:pPr>
    </w:p>
    <w:p w14:paraId="21049D0E">
      <w:pPr>
        <w:spacing w:line="400" w:lineRule="exact"/>
        <w:rPr>
          <w:rFonts w:hAnsi="宋体"/>
          <w:b/>
          <w:sz w:val="24"/>
        </w:rPr>
      </w:pPr>
      <w:bookmarkStart w:id="84" w:name="_Toc477899480"/>
    </w:p>
    <w:p w14:paraId="170CEB08">
      <w:pPr>
        <w:spacing w:line="400" w:lineRule="exact"/>
        <w:outlineLvl w:val="0"/>
        <w:rPr>
          <w:rFonts w:ascii="宋体" w:hAnsi="宋体"/>
          <w:b/>
          <w:sz w:val="24"/>
        </w:rPr>
      </w:pPr>
      <w:bookmarkStart w:id="85" w:name="_Toc7138"/>
      <w:bookmarkStart w:id="86" w:name="_Toc12436"/>
      <w:r>
        <w:rPr>
          <w:rFonts w:hint="eastAsia" w:hAnsi="宋体"/>
          <w:b/>
          <w:sz w:val="24"/>
        </w:rPr>
        <w:t xml:space="preserve">格式3   </w:t>
      </w:r>
      <w:r>
        <w:rPr>
          <w:rFonts w:hint="eastAsia" w:ascii="宋体" w:hAnsi="宋体"/>
          <w:b/>
          <w:sz w:val="24"/>
        </w:rPr>
        <w:t xml:space="preserve">                       分项报价明细表</w:t>
      </w:r>
      <w:bookmarkEnd w:id="84"/>
      <w:bookmarkEnd w:id="85"/>
      <w:bookmarkEnd w:id="86"/>
    </w:p>
    <w:p w14:paraId="3935F418">
      <w:pPr>
        <w:spacing w:line="400" w:lineRule="exact"/>
        <w:rPr>
          <w:rFonts w:ascii="黑体" w:hAnsi="Arial" w:eastAsia="黑体"/>
          <w:b/>
          <w:sz w:val="24"/>
        </w:rPr>
      </w:pPr>
    </w:p>
    <w:p w14:paraId="3D34B401">
      <w:pPr>
        <w:spacing w:line="360" w:lineRule="auto"/>
        <w:rPr>
          <w:rFonts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592F2C39">
      <w:pPr>
        <w:spacing w:line="360" w:lineRule="auto"/>
        <w:rPr>
          <w:rFonts w:ascii="宋体" w:hAnsi="宋体" w:cs="宋体"/>
          <w:sz w:val="24"/>
        </w:rPr>
      </w:pPr>
      <w:r>
        <w:rPr>
          <w:rFonts w:hint="eastAsia" w:ascii="宋体" w:hAnsi="宋体" w:cs="宋体"/>
          <w:sz w:val="24"/>
        </w:rPr>
        <w:t>报价供应商全称(加盖公章)：</w:t>
      </w:r>
      <w:r>
        <w:rPr>
          <w:rFonts w:hint="eastAsia" w:ascii="宋体" w:hAnsi="宋体" w:cs="宋体"/>
          <w:sz w:val="24"/>
          <w:u w:val="single"/>
        </w:rPr>
        <w:t xml:space="preserve">                    </w:t>
      </w:r>
    </w:p>
    <w:p w14:paraId="389B000C">
      <w:pPr>
        <w:spacing w:line="400" w:lineRule="exact"/>
        <w:rPr>
          <w:rFonts w:ascii="Arial" w:hAnsi="Arial"/>
          <w:szCs w:val="21"/>
        </w:rPr>
      </w:pPr>
    </w:p>
    <w:p w14:paraId="571EC657">
      <w:pPr>
        <w:pStyle w:val="2"/>
        <w:rPr>
          <w:rFonts w:ascii="Arial" w:hAnsi="Arial"/>
          <w:color w:val="auto"/>
          <w:szCs w:val="21"/>
        </w:rPr>
      </w:pPr>
    </w:p>
    <w:p w14:paraId="5B45FE29">
      <w:pPr>
        <w:pStyle w:val="2"/>
        <w:rPr>
          <w:rFonts w:ascii="Arial" w:hAnsi="Arial"/>
          <w:color w:val="auto"/>
          <w:szCs w:val="21"/>
        </w:rPr>
      </w:pPr>
    </w:p>
    <w:p w14:paraId="745B4D69">
      <w:pPr>
        <w:spacing w:line="400" w:lineRule="exact"/>
        <w:jc w:val="center"/>
        <w:rPr>
          <w:rFonts w:ascii="Arial" w:hAnsi="Arial"/>
          <w:sz w:val="32"/>
          <w:szCs w:val="32"/>
        </w:rPr>
      </w:pPr>
      <w:r>
        <w:rPr>
          <w:rFonts w:hint="eastAsia" w:ascii="Arial" w:hAnsi="Arial"/>
          <w:sz w:val="32"/>
          <w:szCs w:val="32"/>
        </w:rPr>
        <w:t>格式自拟定</w:t>
      </w:r>
    </w:p>
    <w:p w14:paraId="25A66C76">
      <w:pPr>
        <w:spacing w:line="400" w:lineRule="exact"/>
        <w:rPr>
          <w:rFonts w:ascii="Arial" w:hAnsi="Arial"/>
          <w:szCs w:val="21"/>
        </w:rPr>
      </w:pPr>
    </w:p>
    <w:p w14:paraId="46BDFC48">
      <w:pPr>
        <w:pStyle w:val="2"/>
        <w:rPr>
          <w:rFonts w:ascii="Arial" w:hAnsi="Arial"/>
          <w:color w:val="auto"/>
          <w:szCs w:val="21"/>
        </w:rPr>
      </w:pPr>
    </w:p>
    <w:p w14:paraId="0E2747C5">
      <w:pPr>
        <w:pStyle w:val="2"/>
        <w:rPr>
          <w:rFonts w:ascii="Arial" w:hAnsi="Arial"/>
          <w:color w:val="auto"/>
          <w:szCs w:val="21"/>
        </w:rPr>
      </w:pPr>
    </w:p>
    <w:p w14:paraId="637B056E">
      <w:pPr>
        <w:pStyle w:val="2"/>
        <w:rPr>
          <w:rFonts w:ascii="Arial" w:hAnsi="Arial"/>
          <w:color w:val="auto"/>
          <w:szCs w:val="21"/>
        </w:rPr>
      </w:pPr>
    </w:p>
    <w:p w14:paraId="092BFAE4">
      <w:pPr>
        <w:spacing w:line="400" w:lineRule="exact"/>
        <w:rPr>
          <w:rFonts w:ascii="宋体" w:hAnsi="宋体"/>
          <w:b/>
          <w:szCs w:val="21"/>
        </w:rPr>
      </w:pPr>
    </w:p>
    <w:p w14:paraId="49D19FBA">
      <w:pPr>
        <w:spacing w:line="400" w:lineRule="exact"/>
        <w:rPr>
          <w:rFonts w:ascii="宋体" w:hAnsi="宋体"/>
          <w:szCs w:val="21"/>
        </w:rPr>
      </w:pPr>
    </w:p>
    <w:p w14:paraId="073F1E55">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46C96093">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52BF1193">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2E3EC505">
      <w:pPr>
        <w:pStyle w:val="18"/>
        <w:ind w:firstLine="0" w:firstLineChars="0"/>
        <w:rPr>
          <w:rFonts w:ascii="宋体" w:hAnsi="宋体" w:cs="宋体"/>
          <w:sz w:val="28"/>
          <w:szCs w:val="28"/>
        </w:rPr>
      </w:pPr>
    </w:p>
    <w:p w14:paraId="43F11545">
      <w:pPr>
        <w:pStyle w:val="18"/>
        <w:ind w:firstLine="0" w:firstLineChars="0"/>
        <w:rPr>
          <w:rFonts w:ascii="宋体" w:hAnsi="宋体" w:cs="宋体"/>
          <w:sz w:val="28"/>
          <w:szCs w:val="28"/>
        </w:rPr>
      </w:pPr>
    </w:p>
    <w:p w14:paraId="6CB106DE">
      <w:pPr>
        <w:pStyle w:val="18"/>
        <w:ind w:firstLine="0" w:firstLineChars="0"/>
        <w:rPr>
          <w:rFonts w:ascii="宋体" w:hAnsi="宋体" w:cs="宋体"/>
          <w:sz w:val="28"/>
          <w:szCs w:val="28"/>
        </w:rPr>
      </w:pPr>
    </w:p>
    <w:p w14:paraId="3D059817">
      <w:pPr>
        <w:pStyle w:val="18"/>
        <w:ind w:firstLine="0" w:firstLineChars="0"/>
        <w:rPr>
          <w:rFonts w:ascii="宋体" w:hAnsi="宋体" w:cs="宋体"/>
          <w:sz w:val="28"/>
          <w:szCs w:val="28"/>
        </w:rPr>
      </w:pPr>
    </w:p>
    <w:p w14:paraId="3977F685">
      <w:pPr>
        <w:pStyle w:val="18"/>
        <w:ind w:firstLine="0" w:firstLineChars="0"/>
        <w:rPr>
          <w:rFonts w:ascii="宋体" w:hAnsi="宋体" w:cs="宋体"/>
          <w:sz w:val="28"/>
          <w:szCs w:val="28"/>
        </w:rPr>
      </w:pPr>
    </w:p>
    <w:p w14:paraId="103BF03A">
      <w:pPr>
        <w:pStyle w:val="18"/>
        <w:ind w:firstLine="0" w:firstLineChars="0"/>
        <w:rPr>
          <w:rFonts w:ascii="宋体" w:hAnsi="宋体" w:cs="宋体"/>
          <w:sz w:val="28"/>
          <w:szCs w:val="28"/>
        </w:rPr>
      </w:pPr>
    </w:p>
    <w:p w14:paraId="2ABE1A41">
      <w:pPr>
        <w:pStyle w:val="18"/>
        <w:ind w:firstLine="0" w:firstLineChars="0"/>
        <w:rPr>
          <w:rFonts w:ascii="宋体" w:hAnsi="宋体" w:cs="宋体"/>
          <w:sz w:val="28"/>
          <w:szCs w:val="28"/>
        </w:rPr>
      </w:pPr>
    </w:p>
    <w:p w14:paraId="5355F9D5">
      <w:pPr>
        <w:pStyle w:val="18"/>
        <w:ind w:firstLine="0" w:firstLineChars="0"/>
        <w:rPr>
          <w:rFonts w:ascii="宋体" w:hAnsi="宋体" w:cs="宋体"/>
          <w:sz w:val="28"/>
          <w:szCs w:val="28"/>
        </w:rPr>
      </w:pPr>
    </w:p>
    <w:p w14:paraId="059040C9">
      <w:pPr>
        <w:pStyle w:val="18"/>
        <w:ind w:firstLine="0" w:firstLineChars="0"/>
        <w:rPr>
          <w:rFonts w:ascii="宋体" w:hAnsi="宋体" w:cs="宋体"/>
          <w:sz w:val="28"/>
          <w:szCs w:val="28"/>
        </w:rPr>
      </w:pPr>
    </w:p>
    <w:p w14:paraId="665ADA63">
      <w:pPr>
        <w:pStyle w:val="18"/>
        <w:ind w:firstLine="0" w:firstLineChars="0"/>
        <w:rPr>
          <w:rFonts w:ascii="宋体" w:hAnsi="宋体" w:cs="宋体"/>
          <w:sz w:val="28"/>
          <w:szCs w:val="28"/>
        </w:rPr>
      </w:pPr>
    </w:p>
    <w:p w14:paraId="33E0BD40">
      <w:pPr>
        <w:spacing w:line="440" w:lineRule="exact"/>
        <w:outlineLvl w:val="0"/>
        <w:rPr>
          <w:rFonts w:ascii="宋体" w:hAnsi="宋体" w:cs="宋体"/>
          <w:b/>
          <w:sz w:val="28"/>
          <w:szCs w:val="28"/>
        </w:rPr>
      </w:pPr>
      <w:bookmarkStart w:id="87" w:name="_Toc102"/>
      <w:bookmarkStart w:id="88" w:name="_Toc24037"/>
      <w:bookmarkStart w:id="89" w:name="_Toc29026"/>
      <w:bookmarkStart w:id="90" w:name="_Toc24019"/>
      <w:bookmarkStart w:id="91" w:name="_Toc372013046"/>
      <w:bookmarkStart w:id="92" w:name="_Toc145132116"/>
      <w:bookmarkStart w:id="93" w:name="_Toc432513149"/>
      <w:bookmarkStart w:id="94" w:name="_Toc23010"/>
      <w:bookmarkStart w:id="95" w:name="_Toc502907895"/>
      <w:bookmarkStart w:id="96" w:name="_Toc373141312"/>
      <w:bookmarkStart w:id="97" w:name="_Toc393727163"/>
    </w:p>
    <w:p w14:paraId="1C015D60">
      <w:pPr>
        <w:spacing w:line="440" w:lineRule="exact"/>
        <w:outlineLvl w:val="0"/>
        <w:rPr>
          <w:rFonts w:ascii="宋体" w:hAnsi="宋体" w:cs="宋体"/>
          <w:b/>
          <w:sz w:val="28"/>
          <w:szCs w:val="28"/>
        </w:rPr>
      </w:pPr>
      <w:r>
        <w:rPr>
          <w:rFonts w:hint="eastAsia" w:ascii="宋体" w:hAnsi="宋体" w:cs="宋体"/>
          <w:b/>
          <w:sz w:val="28"/>
          <w:szCs w:val="28"/>
        </w:rPr>
        <w:t>格式4                           资格声明函</w:t>
      </w:r>
      <w:bookmarkEnd w:id="87"/>
      <w:bookmarkEnd w:id="88"/>
      <w:bookmarkEnd w:id="89"/>
      <w:bookmarkEnd w:id="90"/>
    </w:p>
    <w:p w14:paraId="4396FDA8">
      <w:pPr>
        <w:spacing w:line="440" w:lineRule="exact"/>
        <w:ind w:firstLine="2940" w:firstLineChars="1046"/>
        <w:jc w:val="left"/>
        <w:rPr>
          <w:rFonts w:ascii="宋体" w:hAnsi="宋体" w:cs="宋体"/>
          <w:b/>
          <w:sz w:val="28"/>
          <w:szCs w:val="28"/>
        </w:rPr>
      </w:pPr>
    </w:p>
    <w:p w14:paraId="5F89B21C">
      <w:pPr>
        <w:pStyle w:val="9"/>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泉州师范学院（泉州师范学院图书馆）      </w:t>
      </w:r>
    </w:p>
    <w:p w14:paraId="3DE4BA9E">
      <w:pPr>
        <w:spacing w:line="360" w:lineRule="auto"/>
        <w:rPr>
          <w:rFonts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(采购编号、项目名称)采购项目的报价邀请，我方愿意参加报价，并证明所提供的资格文件和所要求的说明是真实可靠的和准确无误的。</w:t>
      </w:r>
    </w:p>
    <w:p w14:paraId="17417F00">
      <w:pPr>
        <w:spacing w:line="360" w:lineRule="auto"/>
        <w:ind w:firstLine="480" w:firstLineChars="200"/>
        <w:rPr>
          <w:rFonts w:ascii="宋体" w:hAnsi="宋体" w:cs="宋体"/>
          <w:sz w:val="24"/>
        </w:rPr>
      </w:pPr>
      <w:r>
        <w:rPr>
          <w:rFonts w:hint="eastAsia" w:ascii="宋体" w:hAnsi="宋体" w:cs="宋体"/>
          <w:sz w:val="24"/>
        </w:rPr>
        <w:t>我方对可能要求提供的进一步的资格资料表示理解和同意，并同意按贵方的要求提供任何有关资料。</w:t>
      </w:r>
    </w:p>
    <w:p w14:paraId="4D4D4E81">
      <w:pPr>
        <w:spacing w:line="360" w:lineRule="auto"/>
        <w:ind w:firstLine="480" w:firstLineChars="200"/>
        <w:rPr>
          <w:rFonts w:ascii="宋体" w:hAnsi="宋体" w:cs="宋体"/>
          <w:sz w:val="24"/>
        </w:rPr>
      </w:pPr>
      <w:r>
        <w:rPr>
          <w:rFonts w:hint="eastAsia" w:ascii="宋体" w:hAnsi="宋体" w:cs="宋体"/>
          <w:sz w:val="24"/>
        </w:rPr>
        <w:t xml:space="preserve">    </w:t>
      </w:r>
    </w:p>
    <w:p w14:paraId="0543A1B2">
      <w:pPr>
        <w:spacing w:line="360" w:lineRule="auto"/>
        <w:ind w:firstLine="480" w:firstLineChars="200"/>
        <w:rPr>
          <w:rFonts w:ascii="宋体" w:hAnsi="宋体" w:cs="宋体"/>
          <w:sz w:val="24"/>
        </w:rPr>
      </w:pPr>
    </w:p>
    <w:p w14:paraId="7AC47545">
      <w:pPr>
        <w:spacing w:line="360" w:lineRule="auto"/>
        <w:ind w:firstLine="480" w:firstLineChars="200"/>
        <w:rPr>
          <w:rFonts w:ascii="宋体" w:hAnsi="宋体" w:cs="宋体"/>
          <w:sz w:val="24"/>
        </w:rPr>
      </w:pPr>
      <w:r>
        <w:rPr>
          <w:rFonts w:hint="eastAsia" w:ascii="宋体" w:hAnsi="宋体" w:cs="宋体"/>
          <w:sz w:val="24"/>
        </w:rPr>
        <w:t xml:space="preserve">    报价供应商全称：</w:t>
      </w:r>
      <w:r>
        <w:rPr>
          <w:rFonts w:hint="eastAsia" w:ascii="宋体" w:hAnsi="宋体" w:cs="宋体"/>
          <w:sz w:val="24"/>
          <w:u w:val="single"/>
        </w:rPr>
        <w:t xml:space="preserve">          （加盖公章）             </w:t>
      </w:r>
    </w:p>
    <w:p w14:paraId="6B763AAD">
      <w:pPr>
        <w:spacing w:line="360" w:lineRule="auto"/>
        <w:ind w:firstLine="480" w:firstLineChars="200"/>
        <w:rPr>
          <w:rFonts w:ascii="宋体" w:hAnsi="宋体" w:cs="宋体"/>
          <w:sz w:val="24"/>
          <w:u w:val="single"/>
        </w:rPr>
      </w:pPr>
      <w:r>
        <w:rPr>
          <w:rFonts w:hint="eastAsia" w:ascii="宋体" w:hAnsi="宋体" w:cs="宋体"/>
          <w:sz w:val="24"/>
        </w:rPr>
        <w:t xml:space="preserve">    法定代表人（或授权代表）签字或盖章：</w:t>
      </w:r>
      <w:r>
        <w:rPr>
          <w:rFonts w:hint="eastAsia" w:ascii="宋体" w:hAnsi="宋体" w:cs="宋体"/>
          <w:sz w:val="24"/>
          <w:u w:val="single"/>
        </w:rPr>
        <w:t xml:space="preserve">                 </w:t>
      </w:r>
    </w:p>
    <w:p w14:paraId="27ABA8F5">
      <w:pPr>
        <w:spacing w:line="360" w:lineRule="auto"/>
        <w:ind w:firstLine="960" w:firstLineChars="40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14:paraId="24D6A145">
      <w:pPr>
        <w:spacing w:line="360" w:lineRule="auto"/>
        <w:ind w:firstLine="480" w:firstLineChars="200"/>
        <w:rPr>
          <w:rFonts w:ascii="宋体" w:hAnsi="宋体" w:cs="宋体"/>
          <w:sz w:val="24"/>
        </w:rPr>
      </w:pPr>
      <w:r>
        <w:rPr>
          <w:rFonts w:hint="eastAsia" w:ascii="宋体" w:hAnsi="宋体" w:cs="宋体"/>
          <w:sz w:val="24"/>
        </w:rPr>
        <w:t xml:space="preserve">    电话／传真：</w:t>
      </w:r>
      <w:r>
        <w:rPr>
          <w:rFonts w:hint="eastAsia" w:ascii="宋体" w:hAnsi="宋体" w:cs="宋体"/>
          <w:sz w:val="24"/>
          <w:u w:val="single"/>
        </w:rPr>
        <w:t xml:space="preserve">                                   </w:t>
      </w:r>
    </w:p>
    <w:p w14:paraId="2D7B48EA">
      <w:pPr>
        <w:spacing w:line="360" w:lineRule="auto"/>
        <w:ind w:firstLine="480" w:firstLineChars="200"/>
        <w:rPr>
          <w:rFonts w:ascii="宋体" w:hAnsi="宋体" w:cs="宋体"/>
          <w:sz w:val="24"/>
        </w:rPr>
      </w:pPr>
      <w:r>
        <w:rPr>
          <w:rFonts w:hint="eastAsia" w:ascii="宋体" w:hAnsi="宋体" w:cs="宋体"/>
          <w:sz w:val="24"/>
        </w:rPr>
        <w:t xml:space="preserve"> </w:t>
      </w:r>
    </w:p>
    <w:p w14:paraId="5E4C18A7">
      <w:pPr>
        <w:pStyle w:val="16"/>
      </w:pPr>
    </w:p>
    <w:p w14:paraId="090BD739">
      <w:pPr>
        <w:spacing w:line="360" w:lineRule="auto"/>
        <w:rPr>
          <w:rFonts w:ascii="宋体" w:hAnsi="宋体" w:cs="宋体"/>
          <w:sz w:val="24"/>
        </w:rPr>
      </w:pPr>
      <w:r>
        <w:rPr>
          <w:rFonts w:hint="eastAsia" w:ascii="宋体" w:hAnsi="宋体" w:cs="宋体"/>
          <w:sz w:val="24"/>
        </w:rPr>
        <w:t>附后：</w:t>
      </w:r>
    </w:p>
    <w:p w14:paraId="7466B05D">
      <w:pPr>
        <w:spacing w:line="360" w:lineRule="auto"/>
        <w:rPr>
          <w:rFonts w:ascii="宋体" w:hAnsi="宋体" w:cs="宋体"/>
          <w:sz w:val="24"/>
        </w:rPr>
      </w:pPr>
      <w:r>
        <w:rPr>
          <w:rFonts w:hint="eastAsia" w:ascii="宋体" w:hAnsi="宋体" w:cs="宋体"/>
          <w:sz w:val="24"/>
        </w:rPr>
        <w:t>1、公司简介</w:t>
      </w:r>
    </w:p>
    <w:p w14:paraId="784A3A84">
      <w:pPr>
        <w:spacing w:line="360" w:lineRule="auto"/>
        <w:rPr>
          <w:rFonts w:ascii="宋体" w:hAnsi="宋体" w:cs="宋体"/>
          <w:sz w:val="24"/>
        </w:rPr>
      </w:pPr>
      <w:r>
        <w:rPr>
          <w:rFonts w:hint="eastAsia" w:ascii="宋体" w:hAnsi="宋体" w:cs="宋体"/>
          <w:sz w:val="24"/>
        </w:rPr>
        <w:t>2、资格证明文件（均加盖报价供应商公章）</w:t>
      </w:r>
    </w:p>
    <w:p w14:paraId="6313DEAF">
      <w:pPr>
        <w:spacing w:line="360" w:lineRule="auto"/>
        <w:ind w:firstLine="360" w:firstLineChars="150"/>
        <w:rPr>
          <w:rFonts w:ascii="宋体" w:hAnsi="宋体" w:cs="宋体"/>
          <w:sz w:val="24"/>
        </w:rPr>
      </w:pPr>
      <w:r>
        <w:rPr>
          <w:rFonts w:hint="eastAsia" w:ascii="宋体" w:hAnsi="宋体" w:cs="宋体"/>
          <w:sz w:val="24"/>
        </w:rPr>
        <w:t>1）合格有效的营业执照副本有效复印件；</w:t>
      </w:r>
    </w:p>
    <w:p w14:paraId="2EED4881">
      <w:pPr>
        <w:spacing w:line="360" w:lineRule="auto"/>
        <w:ind w:firstLine="360" w:firstLineChars="150"/>
        <w:rPr>
          <w:rFonts w:ascii="宋体" w:hAnsi="宋体" w:cs="宋体"/>
          <w:sz w:val="24"/>
        </w:rPr>
      </w:pPr>
      <w:r>
        <w:rPr>
          <w:rFonts w:hint="eastAsia" w:ascii="宋体" w:hAnsi="宋体" w:cs="宋体"/>
          <w:sz w:val="24"/>
        </w:rPr>
        <w:t>2）法定代表人对报价代表的授权委托书（原件）；</w:t>
      </w:r>
    </w:p>
    <w:p w14:paraId="538993F4">
      <w:pPr>
        <w:spacing w:line="360" w:lineRule="auto"/>
        <w:ind w:firstLine="360" w:firstLineChars="150"/>
        <w:rPr>
          <w:rFonts w:ascii="宋体" w:hAnsi="宋体" w:cs="宋体"/>
          <w:sz w:val="24"/>
        </w:rPr>
      </w:pPr>
      <w:r>
        <w:rPr>
          <w:rFonts w:hint="eastAsia" w:ascii="宋体" w:hAnsi="宋体" w:cs="宋体"/>
          <w:sz w:val="24"/>
        </w:rPr>
        <w:t>3）法定代表人和报价代表身份证正反面有效复印件；</w:t>
      </w:r>
    </w:p>
    <w:p w14:paraId="1D340EF7">
      <w:pPr>
        <w:spacing w:line="360" w:lineRule="auto"/>
        <w:ind w:firstLine="360" w:firstLineChars="150"/>
        <w:rPr>
          <w:rFonts w:ascii="宋体" w:hAnsi="宋体" w:cs="宋体"/>
          <w:sz w:val="24"/>
        </w:rPr>
      </w:pPr>
      <w:r>
        <w:rPr>
          <w:rFonts w:hint="eastAsia" w:ascii="宋体" w:hAnsi="宋体" w:cs="宋体"/>
          <w:sz w:val="24"/>
        </w:rPr>
        <w:t>4）报价供应商须符合《中华人民共和国政府采购法》第二十二条规定条件且无行贿犯罪记录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cs="宋体"/>
          <w:sz w:val="24"/>
        </w:rPr>
        <w:t>。</w:t>
      </w:r>
    </w:p>
    <w:p w14:paraId="58B8DCD7">
      <w:pPr>
        <w:spacing w:line="360" w:lineRule="auto"/>
        <w:ind w:firstLine="360" w:firstLineChars="150"/>
        <w:rPr>
          <w:rFonts w:ascii="宋体" w:hAnsi="宋体" w:cs="宋体"/>
          <w:sz w:val="24"/>
        </w:rPr>
      </w:pPr>
      <w:r>
        <w:rPr>
          <w:rFonts w:ascii="Arial" w:hAnsi="Arial" w:cs="Arial"/>
          <w:sz w:val="24"/>
        </w:rPr>
        <w:t>…………………………</w:t>
      </w:r>
    </w:p>
    <w:p w14:paraId="23334C1C">
      <w:pPr>
        <w:spacing w:line="360" w:lineRule="auto"/>
        <w:ind w:firstLine="360" w:firstLineChars="150"/>
        <w:rPr>
          <w:rFonts w:ascii="宋体" w:hAnsi="宋体" w:cs="宋体"/>
          <w:sz w:val="24"/>
        </w:rPr>
      </w:pPr>
    </w:p>
    <w:p w14:paraId="68400686">
      <w:pPr>
        <w:spacing w:line="360" w:lineRule="auto"/>
        <w:ind w:firstLine="360" w:firstLineChars="150"/>
        <w:rPr>
          <w:rFonts w:ascii="宋体" w:hAnsi="宋体" w:cs="宋体"/>
          <w:sz w:val="24"/>
        </w:rPr>
      </w:pPr>
    </w:p>
    <w:p w14:paraId="7A2765FA">
      <w:pPr>
        <w:spacing w:line="360" w:lineRule="auto"/>
        <w:ind w:firstLine="360" w:firstLineChars="150"/>
        <w:rPr>
          <w:rFonts w:ascii="宋体" w:hAnsi="宋体" w:cs="宋体"/>
          <w:sz w:val="24"/>
        </w:rPr>
      </w:pPr>
    </w:p>
    <w:p w14:paraId="52CC2321">
      <w:pPr>
        <w:spacing w:line="360" w:lineRule="auto"/>
        <w:ind w:firstLine="360" w:firstLineChars="150"/>
        <w:rPr>
          <w:rFonts w:ascii="宋体" w:hAnsi="宋体" w:cs="宋体"/>
          <w:sz w:val="24"/>
        </w:rPr>
      </w:pPr>
    </w:p>
    <w:p w14:paraId="490A7F83">
      <w:pPr>
        <w:spacing w:line="360" w:lineRule="auto"/>
        <w:ind w:firstLine="360" w:firstLineChars="150"/>
        <w:rPr>
          <w:rFonts w:ascii="宋体" w:hAnsi="宋体" w:cs="宋体"/>
          <w:sz w:val="24"/>
        </w:rPr>
      </w:pPr>
    </w:p>
    <w:bookmarkEnd w:id="91"/>
    <w:bookmarkEnd w:id="92"/>
    <w:bookmarkEnd w:id="93"/>
    <w:bookmarkEnd w:id="94"/>
    <w:bookmarkEnd w:id="95"/>
    <w:bookmarkEnd w:id="96"/>
    <w:bookmarkEnd w:id="97"/>
    <w:p w14:paraId="38584738">
      <w:pPr>
        <w:spacing w:line="440" w:lineRule="exact"/>
        <w:rPr>
          <w:rFonts w:ascii="宋体" w:hAnsi="宋体" w:cs="宋体"/>
          <w:b/>
          <w:sz w:val="28"/>
          <w:szCs w:val="28"/>
        </w:rPr>
      </w:pPr>
    </w:p>
    <w:p w14:paraId="2B668B37">
      <w:pPr>
        <w:spacing w:line="440" w:lineRule="exact"/>
        <w:outlineLvl w:val="0"/>
        <w:rPr>
          <w:rFonts w:ascii="宋体" w:hAnsi="宋体" w:cs="宋体"/>
          <w:b/>
          <w:sz w:val="28"/>
          <w:szCs w:val="28"/>
        </w:rPr>
      </w:pPr>
      <w:r>
        <w:rPr>
          <w:rFonts w:hint="eastAsia" w:ascii="宋体" w:hAnsi="宋体" w:cs="宋体"/>
          <w:b/>
          <w:sz w:val="28"/>
          <w:szCs w:val="28"/>
        </w:rPr>
        <w:t xml:space="preserve"> </w:t>
      </w:r>
      <w:bookmarkStart w:id="98" w:name="_Toc15327"/>
      <w:bookmarkStart w:id="99" w:name="_Toc30609"/>
      <w:bookmarkStart w:id="100" w:name="_Toc13141"/>
      <w:bookmarkStart w:id="101" w:name="_Toc4657"/>
      <w:r>
        <w:rPr>
          <w:rFonts w:hint="eastAsia" w:ascii="宋体" w:hAnsi="宋体" w:cs="宋体"/>
          <w:b/>
          <w:sz w:val="28"/>
          <w:szCs w:val="28"/>
        </w:rPr>
        <w:t>格式5                  法定代表人授权书(原件)</w:t>
      </w:r>
      <w:bookmarkEnd w:id="98"/>
      <w:bookmarkEnd w:id="99"/>
      <w:bookmarkEnd w:id="100"/>
      <w:bookmarkEnd w:id="101"/>
    </w:p>
    <w:p w14:paraId="6EB0AA1D">
      <w:pPr>
        <w:spacing w:line="440" w:lineRule="exact"/>
        <w:rPr>
          <w:rFonts w:ascii="宋体" w:hAnsi="宋体" w:cs="宋体"/>
          <w:b/>
          <w:sz w:val="28"/>
          <w:szCs w:val="28"/>
        </w:rPr>
      </w:pPr>
    </w:p>
    <w:p w14:paraId="09D6A67B">
      <w:pPr>
        <w:spacing w:line="440" w:lineRule="exact"/>
        <w:rPr>
          <w:rFonts w:ascii="宋体" w:hAnsi="宋体" w:cs="宋体"/>
          <w:b/>
          <w:sz w:val="28"/>
          <w:szCs w:val="28"/>
        </w:rPr>
      </w:pPr>
    </w:p>
    <w:p w14:paraId="493E31EA">
      <w:pPr>
        <w:spacing w:line="360" w:lineRule="auto"/>
        <w:ind w:firstLine="480" w:firstLineChars="200"/>
        <w:rPr>
          <w:rFonts w:ascii="宋体" w:hAnsi="宋体" w:cs="宋体"/>
          <w:b/>
          <w:sz w:val="24"/>
          <w:u w:val="single"/>
        </w:rPr>
      </w:pPr>
      <w:r>
        <w:rPr>
          <w:rFonts w:hint="eastAsia" w:ascii="宋体" w:hAnsi="宋体" w:cs="宋体"/>
          <w:bCs/>
          <w:sz w:val="24"/>
        </w:rPr>
        <w:t>兹有</w:t>
      </w:r>
      <w:r>
        <w:rPr>
          <w:rFonts w:hint="eastAsia" w:ascii="宋体" w:hAnsi="宋体" w:cs="宋体"/>
          <w:b/>
          <w:sz w:val="24"/>
          <w:u w:val="single"/>
        </w:rPr>
        <w:t xml:space="preserve">                   </w:t>
      </w:r>
      <w:r>
        <w:rPr>
          <w:rFonts w:hint="eastAsia" w:ascii="宋体" w:hAnsi="宋体" w:cs="宋体"/>
          <w:bCs/>
          <w:sz w:val="24"/>
        </w:rPr>
        <w:t>(报价供应商全称)</w:t>
      </w:r>
      <w:r>
        <w:rPr>
          <w:rFonts w:hint="eastAsia" w:ascii="宋体" w:hAnsi="宋体" w:cs="宋体"/>
          <w:sz w:val="24"/>
        </w:rPr>
        <w:t>的</w:t>
      </w:r>
      <w:r>
        <w:rPr>
          <w:rFonts w:hint="eastAsia" w:ascii="宋体" w:hAnsi="宋体" w:cs="宋体"/>
          <w:bCs/>
          <w:sz w:val="24"/>
        </w:rPr>
        <w:t>法定代表人</w:t>
      </w:r>
      <w:r>
        <w:rPr>
          <w:rFonts w:hint="eastAsia" w:ascii="宋体" w:hAnsi="宋体" w:cs="宋体"/>
          <w:bCs/>
          <w:sz w:val="24"/>
          <w:u w:val="single"/>
        </w:rPr>
        <w:t xml:space="preserve">        </w:t>
      </w:r>
      <w:r>
        <w:rPr>
          <w:rFonts w:hint="eastAsia" w:ascii="宋体" w:hAnsi="宋体" w:cs="宋体"/>
          <w:bCs/>
          <w:sz w:val="24"/>
        </w:rPr>
        <w:t>（</w:t>
      </w:r>
      <w:r>
        <w:rPr>
          <w:rFonts w:hint="eastAsia" w:ascii="宋体" w:hAnsi="宋体" w:cs="宋体"/>
          <w:sz w:val="24"/>
        </w:rPr>
        <w:t>姓名）授权</w:t>
      </w:r>
      <w:r>
        <w:rPr>
          <w:rFonts w:hint="eastAsia" w:ascii="宋体" w:hAnsi="宋体" w:cs="宋体"/>
          <w:sz w:val="24"/>
          <w:u w:val="single"/>
        </w:rPr>
        <w:t xml:space="preserve">    </w:t>
      </w:r>
      <w:r>
        <w:rPr>
          <w:rFonts w:hint="eastAsia" w:ascii="宋体" w:hAnsi="宋体" w:cs="宋体"/>
          <w:b/>
          <w:sz w:val="24"/>
          <w:u w:val="single"/>
        </w:rPr>
        <w:t xml:space="preserve">          </w:t>
      </w:r>
    </w:p>
    <w:p w14:paraId="112C0C80">
      <w:pPr>
        <w:spacing w:line="360" w:lineRule="auto"/>
        <w:ind w:firstLine="480" w:firstLineChars="200"/>
        <w:rPr>
          <w:rFonts w:ascii="宋体" w:hAnsi="宋体" w:cs="宋体"/>
          <w:sz w:val="24"/>
        </w:rPr>
      </w:pPr>
      <w:r>
        <w:rPr>
          <w:rFonts w:hint="eastAsia" w:ascii="宋体" w:hAnsi="宋体" w:cs="宋体"/>
          <w:sz w:val="24"/>
        </w:rPr>
        <w:t xml:space="preserve">（被授权人姓名），为 </w:t>
      </w:r>
      <w:r>
        <w:rPr>
          <w:rFonts w:hint="eastAsia" w:ascii="宋体" w:hAnsi="宋体" w:cs="宋体"/>
          <w:sz w:val="24"/>
          <w:u w:val="single"/>
        </w:rPr>
        <w:t xml:space="preserve">             （</w:t>
      </w:r>
      <w:r>
        <w:rPr>
          <w:rFonts w:hint="eastAsia" w:ascii="宋体" w:hAnsi="宋体" w:cs="宋体"/>
          <w:sz w:val="24"/>
        </w:rPr>
        <w:t>采购编号）的报价代理人，以本公司名义处理一切与之有关的事宜。</w:t>
      </w:r>
    </w:p>
    <w:p w14:paraId="09341831">
      <w:pPr>
        <w:pStyle w:val="25"/>
        <w:spacing w:line="360" w:lineRule="auto"/>
        <w:ind w:firstLineChars="200"/>
        <w:rPr>
          <w:rFonts w:ascii="宋体" w:hAnsi="宋体" w:cs="宋体"/>
          <w:bCs/>
          <w:szCs w:val="24"/>
        </w:rPr>
      </w:pPr>
      <w:r>
        <w:rPr>
          <w:rFonts w:hint="eastAsia" w:ascii="宋体" w:hAnsi="宋体" w:cs="宋体"/>
          <w:szCs w:val="24"/>
        </w:rPr>
        <w:t>本授权书仅对</w:t>
      </w:r>
      <w:r>
        <w:rPr>
          <w:rFonts w:hint="eastAsia" w:ascii="宋体" w:hAnsi="宋体" w:cs="宋体"/>
          <w:bCs/>
          <w:szCs w:val="24"/>
        </w:rPr>
        <w:t>该项目有效，</w:t>
      </w:r>
      <w:r>
        <w:rPr>
          <w:rFonts w:hint="eastAsia" w:ascii="宋体" w:hAnsi="宋体" w:cs="宋体"/>
          <w:szCs w:val="24"/>
        </w:rPr>
        <w:t>特此声明。</w:t>
      </w:r>
    </w:p>
    <w:p w14:paraId="13ABDC1A">
      <w:pPr>
        <w:pStyle w:val="25"/>
        <w:spacing w:line="360" w:lineRule="auto"/>
        <w:ind w:firstLineChars="200"/>
        <w:jc w:val="left"/>
        <w:rPr>
          <w:rFonts w:ascii="宋体" w:hAnsi="宋体" w:cs="宋体"/>
          <w:szCs w:val="24"/>
        </w:rPr>
      </w:pPr>
      <w:r>
        <w:rPr>
          <w:rFonts w:hint="eastAsia" w:ascii="宋体" w:hAnsi="宋体" w:cs="宋体"/>
          <w:bCs/>
          <w:szCs w:val="24"/>
        </w:rPr>
        <w:t>法定代表人</w:t>
      </w:r>
      <w:r>
        <w:rPr>
          <w:rFonts w:hint="eastAsia" w:ascii="宋体" w:hAnsi="宋体" w:cs="宋体"/>
          <w:szCs w:val="24"/>
        </w:rPr>
        <w:t>签字或盖章：</w:t>
      </w:r>
      <w:r>
        <w:rPr>
          <w:rFonts w:hint="eastAsia" w:ascii="宋体" w:hAnsi="宋体" w:cs="宋体"/>
          <w:szCs w:val="24"/>
          <w:u w:val="single"/>
        </w:rPr>
        <w:t xml:space="preserve">               </w:t>
      </w:r>
      <w:r>
        <w:rPr>
          <w:rFonts w:hint="eastAsia" w:ascii="宋体" w:hAnsi="宋体" w:cs="宋体"/>
          <w:szCs w:val="24"/>
        </w:rPr>
        <w:t xml:space="preserve"> </w:t>
      </w:r>
    </w:p>
    <w:p w14:paraId="6458BA37">
      <w:pPr>
        <w:pStyle w:val="25"/>
        <w:spacing w:line="360" w:lineRule="auto"/>
        <w:ind w:firstLineChars="200"/>
        <w:jc w:val="left"/>
        <w:rPr>
          <w:rFonts w:ascii="宋体" w:hAnsi="宋体" w:cs="宋体"/>
          <w:szCs w:val="24"/>
          <w:u w:val="single"/>
        </w:rPr>
      </w:pPr>
      <w:r>
        <w:rPr>
          <w:rFonts w:hint="eastAsia" w:ascii="宋体" w:hAnsi="宋体" w:cs="宋体"/>
          <w:szCs w:val="24"/>
        </w:rPr>
        <w:t>被授权人签字或盖章：</w:t>
      </w:r>
      <w:r>
        <w:rPr>
          <w:rFonts w:hint="eastAsia" w:ascii="宋体" w:hAnsi="宋体" w:cs="宋体"/>
          <w:szCs w:val="24"/>
          <w:u w:val="single"/>
        </w:rPr>
        <w:t xml:space="preserve">                </w:t>
      </w:r>
      <w:r>
        <w:rPr>
          <w:rFonts w:hint="eastAsia" w:ascii="宋体" w:hAnsi="宋体" w:cs="宋体"/>
          <w:szCs w:val="24"/>
        </w:rPr>
        <w:t>职务：</w:t>
      </w:r>
      <w:r>
        <w:rPr>
          <w:rFonts w:hint="eastAsia" w:ascii="宋体" w:hAnsi="宋体" w:cs="宋体"/>
          <w:szCs w:val="24"/>
          <w:u w:val="single"/>
        </w:rPr>
        <w:t xml:space="preserve"> </w:t>
      </w:r>
      <w:r>
        <w:rPr>
          <w:rFonts w:hint="eastAsia" w:ascii="宋体" w:hAnsi="宋体" w:cs="宋体"/>
          <w:b/>
          <w:szCs w:val="24"/>
          <w:u w:val="single"/>
        </w:rPr>
        <w:t xml:space="preserve">          </w:t>
      </w:r>
    </w:p>
    <w:p w14:paraId="435F35F2">
      <w:pPr>
        <w:pStyle w:val="25"/>
        <w:spacing w:line="360" w:lineRule="auto"/>
        <w:ind w:firstLine="560"/>
        <w:jc w:val="left"/>
        <w:rPr>
          <w:rFonts w:ascii="宋体" w:hAnsi="宋体" w:cs="宋体"/>
          <w:b/>
          <w:szCs w:val="24"/>
          <w:u w:val="single"/>
        </w:rPr>
      </w:pPr>
      <w:r>
        <w:rPr>
          <w:rFonts w:hint="eastAsia" w:ascii="宋体" w:hAnsi="宋体" w:cs="宋体"/>
          <w:szCs w:val="24"/>
        </w:rPr>
        <w:t>报价单位详细地址：</w:t>
      </w:r>
      <w:r>
        <w:rPr>
          <w:rFonts w:hint="eastAsia" w:ascii="宋体" w:hAnsi="宋体" w:cs="宋体"/>
          <w:b/>
          <w:szCs w:val="24"/>
          <w:u w:val="single"/>
        </w:rPr>
        <w:t xml:space="preserve">                             </w:t>
      </w:r>
    </w:p>
    <w:p w14:paraId="4E349EE7">
      <w:pPr>
        <w:pStyle w:val="25"/>
        <w:spacing w:line="360" w:lineRule="auto"/>
        <w:ind w:firstLine="560"/>
        <w:jc w:val="left"/>
        <w:rPr>
          <w:rFonts w:ascii="宋体" w:hAnsi="宋体" w:cs="宋体"/>
          <w:szCs w:val="24"/>
        </w:rPr>
      </w:pPr>
      <w:r>
        <w:rPr>
          <w:rFonts w:hint="eastAsia" w:ascii="宋体" w:hAnsi="宋体" w:cs="宋体"/>
          <w:szCs w:val="24"/>
        </w:rPr>
        <w:t>邮编：</w:t>
      </w:r>
      <w:r>
        <w:rPr>
          <w:rFonts w:hint="eastAsia" w:ascii="宋体" w:hAnsi="宋体" w:cs="宋体"/>
          <w:b/>
          <w:szCs w:val="24"/>
          <w:u w:val="single"/>
        </w:rPr>
        <w:t xml:space="preserve">                             </w:t>
      </w:r>
    </w:p>
    <w:p w14:paraId="4CF67CFC">
      <w:pPr>
        <w:pStyle w:val="25"/>
        <w:spacing w:line="360" w:lineRule="auto"/>
        <w:ind w:firstLine="560"/>
        <w:jc w:val="left"/>
        <w:rPr>
          <w:rFonts w:ascii="宋体" w:hAnsi="宋体" w:cs="宋体"/>
          <w:szCs w:val="24"/>
        </w:rPr>
      </w:pPr>
      <w:r>
        <w:rPr>
          <w:rFonts w:hint="eastAsia" w:ascii="宋体" w:hAnsi="宋体" w:cs="宋体"/>
          <w:szCs w:val="24"/>
        </w:rPr>
        <w:t>E-mail:</w:t>
      </w:r>
      <w:r>
        <w:rPr>
          <w:rFonts w:hint="eastAsia" w:ascii="宋体" w:hAnsi="宋体" w:cs="宋体"/>
          <w:b/>
          <w:szCs w:val="24"/>
          <w:u w:val="single"/>
        </w:rPr>
        <w:t xml:space="preserve">                             </w:t>
      </w:r>
    </w:p>
    <w:p w14:paraId="72979BA8">
      <w:pPr>
        <w:spacing w:line="360" w:lineRule="auto"/>
        <w:ind w:firstLine="480" w:firstLineChars="200"/>
        <w:rPr>
          <w:rFonts w:ascii="宋体" w:hAnsi="宋体" w:cs="宋体"/>
          <w:sz w:val="24"/>
        </w:rPr>
      </w:pPr>
      <w:r>
        <w:rPr>
          <w:rFonts w:hint="eastAsia" w:ascii="宋体" w:hAnsi="宋体" w:cs="宋体"/>
          <w:sz w:val="24"/>
        </w:rPr>
        <w:t>联系电话/传真号码：</w:t>
      </w:r>
      <w:r>
        <w:rPr>
          <w:rFonts w:hint="eastAsia" w:ascii="宋体" w:hAnsi="宋体" w:cs="宋体"/>
          <w:b/>
          <w:sz w:val="24"/>
          <w:u w:val="single"/>
        </w:rPr>
        <w:t xml:space="preserve">                             </w:t>
      </w:r>
    </w:p>
    <w:p w14:paraId="1E62F5C6">
      <w:pPr>
        <w:spacing w:line="360" w:lineRule="auto"/>
        <w:rPr>
          <w:rFonts w:ascii="宋体" w:hAnsi="宋体" w:cs="宋体"/>
          <w:b/>
          <w:sz w:val="24"/>
        </w:rPr>
      </w:pPr>
    </w:p>
    <w:p w14:paraId="65ED76A9">
      <w:pPr>
        <w:pStyle w:val="25"/>
        <w:spacing w:line="360" w:lineRule="auto"/>
        <w:ind w:right="560" w:firstLine="560"/>
        <w:jc w:val="center"/>
        <w:rPr>
          <w:rFonts w:ascii="宋体" w:hAnsi="宋体" w:cs="宋体"/>
          <w:szCs w:val="24"/>
        </w:rPr>
      </w:pPr>
    </w:p>
    <w:p w14:paraId="3970BEBB">
      <w:pPr>
        <w:pStyle w:val="25"/>
        <w:spacing w:line="360" w:lineRule="auto"/>
        <w:ind w:right="560" w:firstLine="560"/>
        <w:jc w:val="center"/>
        <w:rPr>
          <w:rFonts w:ascii="宋体" w:hAnsi="宋体" w:cs="宋体"/>
          <w:szCs w:val="24"/>
        </w:rPr>
      </w:pPr>
      <w:r>
        <w:rPr>
          <w:rFonts w:hint="eastAsia" w:ascii="宋体" w:hAnsi="宋体" w:cs="宋体"/>
          <w:szCs w:val="24"/>
        </w:rPr>
        <w:t xml:space="preserve">                   报价供应商全称（加盖公章）：</w:t>
      </w:r>
    </w:p>
    <w:p w14:paraId="06C2CDC0">
      <w:pPr>
        <w:spacing w:line="360" w:lineRule="auto"/>
        <w:ind w:firstLine="844" w:firstLineChars="352"/>
        <w:jc w:val="center"/>
        <w:rPr>
          <w:rFonts w:ascii="宋体" w:hAnsi="宋体" w:cs="宋体"/>
          <w:b/>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E09879C">
      <w:pPr>
        <w:spacing w:line="440" w:lineRule="exact"/>
        <w:rPr>
          <w:rFonts w:ascii="宋体" w:hAnsi="宋体" w:cs="宋体"/>
          <w:b/>
          <w:sz w:val="28"/>
          <w:szCs w:val="28"/>
        </w:rPr>
      </w:pPr>
    </w:p>
    <w:p w14:paraId="2295846C">
      <w:pPr>
        <w:spacing w:line="440" w:lineRule="exact"/>
        <w:rPr>
          <w:rFonts w:ascii="宋体" w:hAnsi="宋体" w:cs="宋体"/>
          <w:b/>
          <w:sz w:val="28"/>
          <w:szCs w:val="28"/>
        </w:rPr>
      </w:pPr>
    </w:p>
    <w:p w14:paraId="41900FBB">
      <w:pPr>
        <w:spacing w:line="400" w:lineRule="exact"/>
        <w:jc w:val="center"/>
        <w:rPr>
          <w:rFonts w:ascii="黑体" w:eastAsia="黑体"/>
          <w:b/>
          <w:sz w:val="24"/>
        </w:rPr>
      </w:pPr>
      <w:r>
        <w:rPr>
          <w:rFonts w:hint="eastAsia" w:ascii="黑体" w:eastAsia="黑体"/>
          <w:b/>
          <w:sz w:val="24"/>
        </w:rPr>
        <w:t>（请附上法人代表及报价代表身份证双面复印件）</w:t>
      </w:r>
    </w:p>
    <w:p w14:paraId="3C8D11FB">
      <w:pPr>
        <w:spacing w:line="440" w:lineRule="exact"/>
        <w:rPr>
          <w:rFonts w:ascii="宋体" w:hAnsi="宋体" w:cs="宋体"/>
          <w:b/>
          <w:sz w:val="28"/>
          <w:szCs w:val="28"/>
        </w:rPr>
      </w:pPr>
    </w:p>
    <w:p w14:paraId="0B6D7DE3">
      <w:pPr>
        <w:spacing w:line="440" w:lineRule="exact"/>
        <w:rPr>
          <w:rFonts w:ascii="宋体" w:hAnsi="宋体" w:cs="宋体"/>
          <w:b/>
          <w:sz w:val="28"/>
          <w:szCs w:val="28"/>
        </w:rPr>
      </w:pPr>
    </w:p>
    <w:p w14:paraId="518030F4">
      <w:pPr>
        <w:pStyle w:val="18"/>
        <w:ind w:firstLine="281"/>
        <w:rPr>
          <w:rFonts w:ascii="宋体" w:hAnsi="宋体" w:cs="宋体"/>
          <w:b/>
          <w:sz w:val="28"/>
          <w:szCs w:val="28"/>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162D5FCA">
      <w:pPr>
        <w:spacing w:line="440" w:lineRule="exact"/>
      </w:pPr>
    </w:p>
    <w:p w14:paraId="68AC4F86">
      <w:pPr>
        <w:pStyle w:val="2"/>
        <w:rPr>
          <w:color w:val="auto"/>
        </w:rPr>
      </w:pPr>
    </w:p>
    <w:p w14:paraId="54D9851B">
      <w:pPr>
        <w:pStyle w:val="2"/>
        <w:rPr>
          <w:color w:val="auto"/>
        </w:rPr>
      </w:pPr>
    </w:p>
    <w:p w14:paraId="15C10BEE">
      <w:pPr>
        <w:pStyle w:val="2"/>
        <w:rPr>
          <w:color w:val="auto"/>
        </w:rPr>
      </w:pPr>
    </w:p>
    <w:p w14:paraId="268573AF">
      <w:pPr>
        <w:pStyle w:val="2"/>
        <w:rPr>
          <w:color w:val="auto"/>
        </w:rPr>
      </w:pPr>
    </w:p>
    <w:p w14:paraId="77B138F8">
      <w:pPr>
        <w:pStyle w:val="2"/>
        <w:rPr>
          <w:color w:val="auto"/>
        </w:rPr>
      </w:pPr>
    </w:p>
    <w:p w14:paraId="0CF97622">
      <w:pPr>
        <w:pStyle w:val="2"/>
        <w:rPr>
          <w:color w:val="auto"/>
        </w:rPr>
      </w:pPr>
    </w:p>
    <w:p w14:paraId="170CC335">
      <w:pPr>
        <w:spacing w:line="440" w:lineRule="exact"/>
        <w:outlineLvl w:val="0"/>
        <w:rPr>
          <w:rFonts w:ascii="宋体" w:hAnsi="宋体" w:cs="宋体"/>
          <w:b/>
          <w:sz w:val="28"/>
          <w:szCs w:val="28"/>
        </w:rPr>
      </w:pPr>
      <w:r>
        <w:rPr>
          <w:rFonts w:hint="eastAsia" w:ascii="宋体" w:hAnsi="宋体" w:cs="宋体"/>
          <w:b/>
          <w:sz w:val="28"/>
          <w:szCs w:val="28"/>
        </w:rPr>
        <w:t>格式6                          资格声明函</w:t>
      </w:r>
    </w:p>
    <w:p w14:paraId="7FF1D132">
      <w:pPr>
        <w:pStyle w:val="9"/>
        <w:spacing w:line="360" w:lineRule="auto"/>
        <w:rPr>
          <w:rFonts w:ascii="宋体" w:hAnsi="宋体" w:cs="宋体"/>
          <w:sz w:val="24"/>
          <w:szCs w:val="24"/>
        </w:rPr>
      </w:pPr>
    </w:p>
    <w:p w14:paraId="49C3FD1E">
      <w:pPr>
        <w:pStyle w:val="9"/>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泉州师范学院（泉州师范学院图书馆）      </w:t>
      </w:r>
    </w:p>
    <w:p w14:paraId="6C55C3B5">
      <w:pPr>
        <w:pStyle w:val="2"/>
        <w:spacing w:line="360" w:lineRule="auto"/>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1、我公司符合《中华人民共和国政府采购法》第二十二条规定条件且无行贿犯罪记录。</w:t>
      </w:r>
    </w:p>
    <w:p w14:paraId="00F46859">
      <w:pPr>
        <w:pStyle w:val="2"/>
        <w:spacing w:line="360" w:lineRule="auto"/>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特此声明！</w:t>
      </w:r>
    </w:p>
    <w:p w14:paraId="3B1D5680">
      <w:pPr>
        <w:pStyle w:val="2"/>
        <w:spacing w:line="360" w:lineRule="auto"/>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2、我公司参加采购活动前三年内，我方在经营活动中没有重大违法记录，即没有因违法经营受到刑事处罚或责令停产停业、吊销许可证或执照、较大数额罚款等行政处罚。否则产生不利后果由我公司承担责任。</w:t>
      </w:r>
    </w:p>
    <w:p w14:paraId="703CDC23">
      <w:pPr>
        <w:pStyle w:val="15"/>
        <w:widowControl/>
        <w:spacing w:line="360" w:lineRule="auto"/>
        <w:ind w:firstLine="336"/>
        <w:rPr>
          <w:rFonts w:asciiTheme="minorEastAsia" w:hAnsiTheme="minorEastAsia" w:eastAsiaTheme="minorEastAsia" w:cstheme="minorEastAsia"/>
        </w:rPr>
      </w:pPr>
      <w:r>
        <w:rPr>
          <w:rFonts w:hint="eastAsia" w:asciiTheme="minorEastAsia" w:hAnsiTheme="minorEastAsia" w:eastAsiaTheme="minorEastAsia" w:cstheme="minorEastAsia"/>
        </w:rPr>
        <w:t>特此声明。</w:t>
      </w:r>
    </w:p>
    <w:p w14:paraId="4DF351E0">
      <w:pPr>
        <w:pStyle w:val="15"/>
        <w:widowControl/>
        <w:ind w:firstLine="336"/>
        <w:rPr>
          <w:rFonts w:asciiTheme="minorEastAsia" w:hAnsiTheme="minorEastAsia" w:eastAsiaTheme="minorEastAsia" w:cstheme="minorEastAsia"/>
        </w:rPr>
      </w:pPr>
    </w:p>
    <w:p w14:paraId="777045BE">
      <w:pPr>
        <w:pStyle w:val="15"/>
        <w:widowControl/>
        <w:ind w:firstLine="336"/>
        <w:rPr>
          <w:rFonts w:asciiTheme="minorEastAsia" w:hAnsiTheme="minorEastAsia" w:eastAsiaTheme="minorEastAsia" w:cstheme="minorEastAsia"/>
        </w:rPr>
      </w:pPr>
    </w:p>
    <w:p w14:paraId="1DD9A35D">
      <w:pPr>
        <w:pStyle w:val="15"/>
        <w:widowControl/>
        <w:ind w:firstLine="336"/>
        <w:rPr>
          <w:rFonts w:asciiTheme="minorEastAsia" w:hAnsiTheme="minorEastAsia" w:eastAsiaTheme="minorEastAsia" w:cstheme="minorEastAsia"/>
        </w:rPr>
      </w:pPr>
    </w:p>
    <w:p w14:paraId="774D7A9F">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71410EE5">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7DD2700F">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7DEC5087">
      <w:pPr>
        <w:pStyle w:val="2"/>
        <w:rPr>
          <w:rFonts w:asciiTheme="minorEastAsia" w:hAnsiTheme="minorEastAsia" w:eastAsiaTheme="minorEastAsia" w:cstheme="minorEastAsia"/>
          <w:color w:val="auto"/>
        </w:rPr>
      </w:pPr>
    </w:p>
    <w:p w14:paraId="6570F941">
      <w:pPr>
        <w:pStyle w:val="2"/>
        <w:rPr>
          <w:rFonts w:asciiTheme="minorEastAsia" w:hAnsiTheme="minorEastAsia" w:eastAsiaTheme="minorEastAsia" w:cstheme="minorEastAsia"/>
          <w:color w:val="auto"/>
        </w:rPr>
      </w:pPr>
    </w:p>
    <w:p w14:paraId="62198DA0">
      <w:pPr>
        <w:pStyle w:val="2"/>
        <w:rPr>
          <w:rFonts w:asciiTheme="minorEastAsia" w:hAnsiTheme="minorEastAsia" w:eastAsiaTheme="minorEastAsia" w:cstheme="minorEastAsia"/>
          <w:color w:val="auto"/>
        </w:rPr>
      </w:pPr>
    </w:p>
    <w:p w14:paraId="40CB91E5">
      <w:pPr>
        <w:pStyle w:val="2"/>
        <w:rPr>
          <w:rFonts w:asciiTheme="minorEastAsia" w:hAnsiTheme="minorEastAsia" w:eastAsiaTheme="minorEastAsia" w:cstheme="minorEastAsia"/>
          <w:color w:val="auto"/>
        </w:rPr>
      </w:pPr>
    </w:p>
    <w:p w14:paraId="692460DB">
      <w:pPr>
        <w:pStyle w:val="2"/>
        <w:rPr>
          <w:rFonts w:asciiTheme="minorEastAsia" w:hAnsiTheme="minorEastAsia" w:eastAsiaTheme="minorEastAsia" w:cstheme="minorEastAsia"/>
          <w:color w:val="auto"/>
        </w:rPr>
      </w:pPr>
    </w:p>
    <w:p w14:paraId="01E73D66">
      <w:pPr>
        <w:pStyle w:val="2"/>
        <w:rPr>
          <w:rFonts w:asciiTheme="minorEastAsia" w:hAnsiTheme="minorEastAsia" w:eastAsiaTheme="minorEastAsia" w:cstheme="minorEastAsia"/>
          <w:color w:val="auto"/>
        </w:rPr>
      </w:pPr>
    </w:p>
    <w:p w14:paraId="15C8B061">
      <w:pPr>
        <w:pStyle w:val="2"/>
        <w:rPr>
          <w:rFonts w:asciiTheme="minorEastAsia" w:hAnsiTheme="minorEastAsia" w:eastAsiaTheme="minorEastAsia" w:cstheme="minorEastAsia"/>
          <w:color w:val="auto"/>
        </w:rPr>
      </w:pPr>
    </w:p>
    <w:p w14:paraId="4B2AE309">
      <w:pPr>
        <w:pStyle w:val="2"/>
        <w:rPr>
          <w:rFonts w:asciiTheme="minorEastAsia" w:hAnsiTheme="minorEastAsia" w:eastAsiaTheme="minorEastAsia" w:cstheme="minorEastAsia"/>
          <w:color w:val="auto"/>
        </w:rPr>
      </w:pPr>
    </w:p>
    <w:p w14:paraId="6DA42070">
      <w:pPr>
        <w:pStyle w:val="2"/>
        <w:rPr>
          <w:rFonts w:asciiTheme="minorEastAsia" w:hAnsiTheme="minorEastAsia" w:eastAsiaTheme="minorEastAsia" w:cstheme="minorEastAsia"/>
          <w:color w:val="auto"/>
        </w:rPr>
      </w:pPr>
    </w:p>
    <w:p w14:paraId="3812A854">
      <w:pPr>
        <w:pStyle w:val="2"/>
        <w:rPr>
          <w:rFonts w:asciiTheme="minorEastAsia" w:hAnsiTheme="minorEastAsia" w:eastAsiaTheme="minorEastAsia" w:cstheme="minorEastAsia"/>
          <w:color w:val="auto"/>
        </w:rPr>
      </w:pPr>
    </w:p>
    <w:p w14:paraId="59DC97CA">
      <w:pPr>
        <w:pStyle w:val="2"/>
        <w:rPr>
          <w:rFonts w:asciiTheme="minorEastAsia" w:hAnsiTheme="minorEastAsia" w:eastAsiaTheme="minorEastAsia" w:cstheme="minorEastAsia"/>
          <w:color w:val="auto"/>
        </w:rPr>
      </w:pPr>
    </w:p>
    <w:p w14:paraId="2E8297F2">
      <w:pPr>
        <w:pStyle w:val="2"/>
        <w:rPr>
          <w:rFonts w:asciiTheme="minorEastAsia" w:hAnsiTheme="minorEastAsia" w:eastAsiaTheme="minorEastAsia" w:cstheme="minorEastAsia"/>
          <w:color w:val="auto"/>
        </w:rPr>
      </w:pPr>
    </w:p>
    <w:p w14:paraId="1511060F">
      <w:pPr>
        <w:pStyle w:val="2"/>
        <w:rPr>
          <w:rFonts w:asciiTheme="minorEastAsia" w:hAnsiTheme="minorEastAsia" w:eastAsiaTheme="minorEastAsia" w:cstheme="minorEastAsia"/>
          <w:color w:val="auto"/>
        </w:rPr>
      </w:pPr>
    </w:p>
    <w:p w14:paraId="2A6E5D4B">
      <w:pPr>
        <w:pStyle w:val="2"/>
        <w:rPr>
          <w:rFonts w:asciiTheme="minorEastAsia" w:hAnsiTheme="minorEastAsia" w:eastAsiaTheme="minorEastAsia" w:cstheme="minorEastAsia"/>
          <w:color w:val="auto"/>
        </w:rPr>
      </w:pPr>
    </w:p>
    <w:p w14:paraId="005B3955">
      <w:pPr>
        <w:pStyle w:val="2"/>
        <w:rPr>
          <w:rFonts w:asciiTheme="minorEastAsia" w:hAnsiTheme="minorEastAsia" w:eastAsiaTheme="minorEastAsia" w:cstheme="minorEastAsia"/>
          <w:color w:val="auto"/>
        </w:rPr>
      </w:pPr>
    </w:p>
    <w:p w14:paraId="190E7860">
      <w:pPr>
        <w:pStyle w:val="2"/>
        <w:rPr>
          <w:rFonts w:asciiTheme="minorEastAsia" w:hAnsiTheme="minorEastAsia" w:eastAsiaTheme="minorEastAsia" w:cstheme="minorEastAsia"/>
          <w:color w:val="auto"/>
        </w:rPr>
      </w:pPr>
    </w:p>
    <w:p w14:paraId="24D3D664">
      <w:pPr>
        <w:pStyle w:val="2"/>
        <w:rPr>
          <w:rFonts w:asciiTheme="minorEastAsia" w:hAnsiTheme="minorEastAsia" w:eastAsiaTheme="minorEastAsia" w:cstheme="minorEastAsia"/>
          <w:color w:val="auto"/>
        </w:rPr>
      </w:pPr>
    </w:p>
    <w:p w14:paraId="5A5010F1">
      <w:pPr>
        <w:pStyle w:val="2"/>
        <w:rPr>
          <w:rFonts w:asciiTheme="minorEastAsia" w:hAnsiTheme="minorEastAsia" w:eastAsiaTheme="minorEastAsia" w:cstheme="minorEastAsia"/>
          <w:color w:val="auto"/>
        </w:rPr>
      </w:pPr>
    </w:p>
    <w:p w14:paraId="4FC78AED">
      <w:pPr>
        <w:pStyle w:val="2"/>
        <w:rPr>
          <w:rFonts w:asciiTheme="minorEastAsia" w:hAnsiTheme="minorEastAsia" w:eastAsiaTheme="minorEastAsia" w:cstheme="minorEastAsia"/>
          <w:color w:val="auto"/>
        </w:rPr>
      </w:pPr>
    </w:p>
    <w:p w14:paraId="6889AB02">
      <w:pPr>
        <w:pStyle w:val="2"/>
        <w:rPr>
          <w:rFonts w:asciiTheme="minorEastAsia" w:hAnsiTheme="minorEastAsia" w:eastAsiaTheme="minorEastAsia" w:cstheme="minorEastAsia"/>
          <w:color w:val="auto"/>
        </w:rPr>
      </w:pPr>
    </w:p>
    <w:p w14:paraId="1932B9D1">
      <w:pPr>
        <w:pStyle w:val="2"/>
        <w:rPr>
          <w:rFonts w:asciiTheme="minorEastAsia" w:hAnsiTheme="minorEastAsia" w:eastAsiaTheme="minorEastAsia" w:cstheme="minorEastAsia"/>
          <w:color w:val="auto"/>
        </w:rPr>
      </w:pPr>
    </w:p>
    <w:p w14:paraId="5A9EFB11">
      <w:pPr>
        <w:pStyle w:val="2"/>
        <w:rPr>
          <w:rFonts w:asciiTheme="minorEastAsia" w:hAnsiTheme="minorEastAsia" w:eastAsiaTheme="minorEastAsia" w:cstheme="minorEastAsia"/>
          <w:color w:val="auto"/>
        </w:rPr>
      </w:pPr>
    </w:p>
    <w:p w14:paraId="17799D54">
      <w:pPr>
        <w:pStyle w:val="2"/>
        <w:rPr>
          <w:rFonts w:asciiTheme="minorEastAsia" w:hAnsiTheme="minorEastAsia" w:eastAsiaTheme="minorEastAsia" w:cstheme="minorEastAsia"/>
          <w:color w:val="auto"/>
        </w:rPr>
      </w:pPr>
    </w:p>
    <w:p w14:paraId="58C3867F">
      <w:pPr>
        <w:pStyle w:val="2"/>
        <w:rPr>
          <w:rFonts w:asciiTheme="minorEastAsia" w:hAnsiTheme="minorEastAsia" w:eastAsiaTheme="minorEastAsia" w:cstheme="minorEastAsia"/>
          <w:color w:val="auto"/>
        </w:rPr>
      </w:pPr>
    </w:p>
    <w:p w14:paraId="49085541">
      <w:pPr>
        <w:spacing w:line="440" w:lineRule="exact"/>
        <w:outlineLvl w:val="0"/>
        <w:rPr>
          <w:rFonts w:ascii="宋体" w:hAnsi="宋体" w:cs="宋体"/>
          <w:b/>
          <w:sz w:val="28"/>
          <w:szCs w:val="28"/>
        </w:rPr>
      </w:pPr>
      <w:r>
        <w:rPr>
          <w:rFonts w:hint="eastAsia" w:ascii="宋体" w:hAnsi="宋体" w:cs="宋体"/>
          <w:b/>
          <w:sz w:val="28"/>
          <w:szCs w:val="28"/>
        </w:rPr>
        <w:t xml:space="preserve">格式7                         售后服务承诺 </w:t>
      </w:r>
    </w:p>
    <w:p w14:paraId="2E38E581">
      <w:pPr>
        <w:pStyle w:val="9"/>
        <w:spacing w:line="360" w:lineRule="auto"/>
        <w:rPr>
          <w:rFonts w:ascii="宋体" w:hAnsi="宋体" w:cs="宋体"/>
          <w:sz w:val="24"/>
          <w:szCs w:val="24"/>
        </w:rPr>
      </w:pPr>
    </w:p>
    <w:p w14:paraId="2279C182">
      <w:pPr>
        <w:pStyle w:val="9"/>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泉州师范学院（泉州师范学院图书馆）      </w:t>
      </w:r>
    </w:p>
    <w:p w14:paraId="4EAAC336">
      <w:pPr>
        <w:pStyle w:val="15"/>
        <w:widowControl/>
        <w:ind w:firstLine="336"/>
        <w:rPr>
          <w:rFonts w:asciiTheme="minorEastAsia" w:hAnsiTheme="minorEastAsia" w:eastAsiaTheme="minorEastAsia" w:cstheme="minorEastAsia"/>
        </w:rPr>
      </w:pPr>
    </w:p>
    <w:p w14:paraId="60CDDC49">
      <w:pPr>
        <w:pStyle w:val="15"/>
        <w:widowControl/>
        <w:ind w:firstLine="336"/>
        <w:rPr>
          <w:rFonts w:asciiTheme="minorEastAsia" w:hAnsiTheme="minorEastAsia" w:eastAsiaTheme="minorEastAsia" w:cstheme="minorEastAsia"/>
        </w:rPr>
      </w:pPr>
    </w:p>
    <w:p w14:paraId="135AE18E">
      <w:pPr>
        <w:pStyle w:val="15"/>
        <w:widowControl/>
        <w:ind w:firstLine="336"/>
        <w:rPr>
          <w:rFonts w:asciiTheme="minorEastAsia" w:hAnsiTheme="minorEastAsia" w:eastAsiaTheme="minorEastAsia" w:cstheme="minorEastAsia"/>
        </w:rPr>
      </w:pPr>
    </w:p>
    <w:p w14:paraId="0B86C853">
      <w:pPr>
        <w:pStyle w:val="15"/>
        <w:widowControl/>
        <w:ind w:firstLine="336"/>
        <w:rPr>
          <w:rFonts w:asciiTheme="minorEastAsia" w:hAnsiTheme="minorEastAsia" w:eastAsiaTheme="minorEastAsia" w:cstheme="minorEastAsia"/>
        </w:rPr>
      </w:pPr>
    </w:p>
    <w:p w14:paraId="46148AD9">
      <w:pPr>
        <w:pStyle w:val="15"/>
        <w:widowControl/>
        <w:ind w:firstLine="336"/>
        <w:rPr>
          <w:rFonts w:asciiTheme="minorEastAsia" w:hAnsiTheme="minorEastAsia" w:eastAsiaTheme="minorEastAsia" w:cstheme="minorEastAsia"/>
        </w:rPr>
      </w:pPr>
    </w:p>
    <w:p w14:paraId="3F375000">
      <w:pPr>
        <w:pStyle w:val="15"/>
        <w:widowControl/>
        <w:ind w:firstLine="336"/>
        <w:rPr>
          <w:rFonts w:asciiTheme="minorEastAsia" w:hAnsiTheme="minorEastAsia" w:eastAsiaTheme="minorEastAsia" w:cstheme="minorEastAsia"/>
        </w:rPr>
      </w:pPr>
    </w:p>
    <w:p w14:paraId="7840A151">
      <w:pPr>
        <w:pStyle w:val="15"/>
        <w:widowControl/>
        <w:ind w:firstLine="336"/>
        <w:rPr>
          <w:rFonts w:asciiTheme="minorEastAsia" w:hAnsiTheme="minorEastAsia" w:eastAsiaTheme="minorEastAsia" w:cstheme="minorEastAsia"/>
        </w:rPr>
      </w:pPr>
    </w:p>
    <w:p w14:paraId="21BF2443">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547439E8">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667D53C5">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4C950CDD">
      <w:pPr>
        <w:pStyle w:val="2"/>
        <w:rPr>
          <w:rFonts w:asciiTheme="minorEastAsia" w:hAnsiTheme="minorEastAsia" w:eastAsiaTheme="minorEastAsia" w:cstheme="minorEastAsia"/>
          <w:color w:val="auto"/>
        </w:rPr>
      </w:pPr>
    </w:p>
    <w:p w14:paraId="6ABEC7B9">
      <w:pPr>
        <w:pStyle w:val="2"/>
        <w:rPr>
          <w:rFonts w:asciiTheme="minorEastAsia" w:hAnsiTheme="minorEastAsia" w:eastAsiaTheme="minorEastAsia" w:cstheme="minorEastAsia"/>
          <w:color w:val="auto"/>
        </w:rPr>
      </w:pPr>
    </w:p>
    <w:p w14:paraId="4632C6AA">
      <w:pPr>
        <w:pStyle w:val="2"/>
        <w:rPr>
          <w:rFonts w:asciiTheme="minorEastAsia" w:hAnsiTheme="minorEastAsia" w:eastAsiaTheme="minorEastAsia" w:cstheme="minorEastAsia"/>
          <w:color w:val="auto"/>
        </w:rPr>
      </w:pPr>
    </w:p>
    <w:p w14:paraId="5EFD8685">
      <w:pPr>
        <w:pStyle w:val="2"/>
        <w:rPr>
          <w:rFonts w:asciiTheme="minorEastAsia" w:hAnsiTheme="minorEastAsia" w:eastAsiaTheme="minorEastAsia" w:cstheme="minorEastAsia"/>
          <w:color w:val="auto"/>
        </w:rPr>
      </w:pPr>
    </w:p>
    <w:p w14:paraId="1DCB1052">
      <w:pPr>
        <w:pStyle w:val="2"/>
        <w:rPr>
          <w:rFonts w:asciiTheme="minorEastAsia" w:hAnsiTheme="minorEastAsia" w:eastAsiaTheme="minorEastAsia" w:cstheme="minorEastAsia"/>
          <w:color w:val="auto"/>
        </w:rPr>
      </w:pPr>
    </w:p>
    <w:p w14:paraId="7F40734C">
      <w:pPr>
        <w:pStyle w:val="2"/>
        <w:rPr>
          <w:rFonts w:asciiTheme="minorEastAsia" w:hAnsiTheme="minorEastAsia" w:eastAsiaTheme="minorEastAsia" w:cstheme="minorEastAsia"/>
          <w:color w:val="auto"/>
        </w:rPr>
      </w:pPr>
    </w:p>
    <w:p w14:paraId="367DCB38">
      <w:pPr>
        <w:pStyle w:val="2"/>
        <w:rPr>
          <w:rFonts w:asciiTheme="minorEastAsia" w:hAnsiTheme="minorEastAsia" w:eastAsiaTheme="minorEastAsia" w:cstheme="minorEastAsia"/>
          <w:color w:val="auto"/>
        </w:rPr>
      </w:pPr>
    </w:p>
    <w:p w14:paraId="35A84905">
      <w:pPr>
        <w:pStyle w:val="2"/>
        <w:rPr>
          <w:rFonts w:asciiTheme="minorEastAsia" w:hAnsiTheme="minorEastAsia" w:eastAsiaTheme="minorEastAsia" w:cstheme="minorEastAsia"/>
          <w:color w:val="auto"/>
        </w:rPr>
      </w:pPr>
    </w:p>
    <w:p w14:paraId="1C95DD19">
      <w:pPr>
        <w:pStyle w:val="2"/>
        <w:rPr>
          <w:rFonts w:asciiTheme="minorEastAsia" w:hAnsiTheme="minorEastAsia" w:eastAsiaTheme="minorEastAsia" w:cstheme="minorEastAsia"/>
          <w:color w:val="auto"/>
        </w:rPr>
      </w:pPr>
    </w:p>
    <w:p w14:paraId="2CB6EA73">
      <w:pPr>
        <w:pStyle w:val="2"/>
        <w:rPr>
          <w:rFonts w:asciiTheme="minorEastAsia" w:hAnsiTheme="minorEastAsia" w:eastAsiaTheme="minorEastAsia" w:cstheme="minorEastAsia"/>
          <w:color w:val="auto"/>
        </w:rPr>
      </w:pPr>
    </w:p>
    <w:p w14:paraId="3C366F36">
      <w:pPr>
        <w:pStyle w:val="2"/>
        <w:rPr>
          <w:rFonts w:asciiTheme="minorEastAsia" w:hAnsiTheme="minorEastAsia" w:eastAsiaTheme="minorEastAsia" w:cstheme="minorEastAsia"/>
          <w:color w:val="auto"/>
        </w:rPr>
      </w:pPr>
    </w:p>
    <w:p w14:paraId="60671F26">
      <w:pPr>
        <w:pStyle w:val="2"/>
        <w:rPr>
          <w:rFonts w:asciiTheme="minorEastAsia" w:hAnsiTheme="minorEastAsia" w:eastAsiaTheme="minorEastAsia" w:cstheme="minorEastAsia"/>
          <w:color w:val="auto"/>
        </w:rPr>
      </w:pPr>
    </w:p>
    <w:p w14:paraId="1AC38635">
      <w:pPr>
        <w:pStyle w:val="2"/>
        <w:rPr>
          <w:rFonts w:asciiTheme="minorEastAsia" w:hAnsiTheme="minorEastAsia" w:eastAsiaTheme="minorEastAsia" w:cstheme="minorEastAsia"/>
          <w:color w:val="auto"/>
        </w:rPr>
      </w:pPr>
    </w:p>
    <w:p w14:paraId="369A5753">
      <w:pPr>
        <w:pStyle w:val="2"/>
        <w:rPr>
          <w:rFonts w:asciiTheme="minorEastAsia" w:hAnsiTheme="minorEastAsia" w:eastAsiaTheme="minorEastAsia" w:cstheme="minorEastAsia"/>
          <w:color w:val="auto"/>
        </w:rPr>
      </w:pPr>
    </w:p>
    <w:p w14:paraId="2959B6EC">
      <w:pPr>
        <w:pStyle w:val="2"/>
        <w:rPr>
          <w:rFonts w:asciiTheme="minorEastAsia" w:hAnsiTheme="minorEastAsia" w:eastAsiaTheme="minorEastAsia" w:cstheme="minorEastAsia"/>
          <w:color w:val="auto"/>
        </w:rPr>
      </w:pPr>
    </w:p>
    <w:p w14:paraId="6D77EEB9">
      <w:pPr>
        <w:pStyle w:val="2"/>
        <w:rPr>
          <w:rFonts w:asciiTheme="minorEastAsia" w:hAnsiTheme="minorEastAsia" w:eastAsiaTheme="minorEastAsia" w:cstheme="minorEastAsia"/>
          <w:color w:val="auto"/>
        </w:rPr>
      </w:pPr>
    </w:p>
    <w:p w14:paraId="49FE80E2">
      <w:pPr>
        <w:pStyle w:val="2"/>
        <w:rPr>
          <w:rFonts w:asciiTheme="minorEastAsia" w:hAnsiTheme="minorEastAsia" w:eastAsiaTheme="minorEastAsia" w:cstheme="minorEastAsia"/>
          <w:color w:val="auto"/>
        </w:rPr>
      </w:pPr>
    </w:p>
    <w:p w14:paraId="06F9D273">
      <w:pPr>
        <w:pStyle w:val="2"/>
        <w:rPr>
          <w:rFonts w:asciiTheme="minorEastAsia" w:hAnsiTheme="minorEastAsia" w:eastAsiaTheme="minorEastAsia" w:cstheme="minorEastAsia"/>
          <w:color w:val="auto"/>
        </w:rPr>
      </w:pPr>
    </w:p>
    <w:p w14:paraId="026B0688">
      <w:pPr>
        <w:pStyle w:val="2"/>
        <w:rPr>
          <w:rFonts w:asciiTheme="minorEastAsia" w:hAnsiTheme="minorEastAsia" w:eastAsiaTheme="minorEastAsia" w:cstheme="minorEastAsia"/>
          <w:color w:val="auto"/>
        </w:rPr>
      </w:pPr>
    </w:p>
    <w:sectPr>
      <w:pgSz w:w="11850" w:h="16783"/>
      <w:pgMar w:top="1134" w:right="1134" w:bottom="851" w:left="1247"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001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0"/>
      <w:tblW w:w="10209" w:type="dxa"/>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26C980C1">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vAlign w:val="center"/>
        </w:tcPr>
        <w:p w14:paraId="240D7C46">
          <w:pPr>
            <w:pStyle w:val="11"/>
            <w:tabs>
              <w:tab w:val="clear" w:pos="4153"/>
              <w:tab w:val="clear" w:pos="8306"/>
            </w:tabs>
            <w:ind w:right="360"/>
            <w:jc w:val="both"/>
          </w:pPr>
          <w:r>
            <w:pict>
              <v:shape id="_x0000_s1030" o:spid="_x0000_s103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path/>
                <v:fill on="f" focussize="0,0"/>
                <v:stroke on="f" weight="0.5pt" joinstyle="miter"/>
                <v:imagedata o:title=""/>
                <o:lock v:ext="edit"/>
                <v:textbox inset="0mm,0mm,0mm,0mm" style="mso-fit-shape-to-text:t;">
                  <w:txbxContent>
                    <w:p w14:paraId="0992291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rPr>
              <w:rFonts w:hint="eastAsia"/>
            </w:rPr>
            <w:t xml:space="preserve">福建诚信招标有限公司                          联系电话：0595-22507198、22507298                     </w:t>
          </w:r>
        </w:p>
      </w:tc>
    </w:tr>
  </w:tbl>
  <w:p w14:paraId="6A5D14C6">
    <w:pPr>
      <w:pStyle w:val="11"/>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B700F">
    <w:pPr>
      <w:pStyle w:val="11"/>
      <w:framePr w:wrap="around" w:vAnchor="text" w:hAnchor="margin" w:xAlign="right" w:y="1"/>
      <w:rPr>
        <w:rStyle w:val="23"/>
      </w:rPr>
    </w:pPr>
    <w:r>
      <w:fldChar w:fldCharType="begin"/>
    </w:r>
    <w:r>
      <w:rPr>
        <w:rStyle w:val="23"/>
      </w:rPr>
      <w:instrText xml:space="preserve">PAGE  </w:instrText>
    </w:r>
    <w:r>
      <w:fldChar w:fldCharType="end"/>
    </w:r>
  </w:p>
  <w:p w14:paraId="7E637DFC">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F52BD">
    <w:pPr>
      <w:pStyle w:val="11"/>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path/>
          <v:fill on="f" focussize="0,0"/>
          <v:stroke on="f" weight="0.5pt" joinstyle="miter"/>
          <v:imagedata o:title=""/>
          <o:lock v:ext="edit"/>
          <v:textbox inset="0mm,0mm,0mm,0mm" style="mso-fit-shape-to-text:t;">
            <w:txbxContent>
              <w:p w14:paraId="079A972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0"/>
      <w:tblW w:w="10209" w:type="dxa"/>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7CEEF996">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vAlign w:val="center"/>
        </w:tcPr>
        <w:p w14:paraId="5BC8CB97">
          <w:pPr>
            <w:pStyle w:val="11"/>
            <w:tabs>
              <w:tab w:val="clear" w:pos="4153"/>
              <w:tab w:val="clear" w:pos="8306"/>
            </w:tabs>
            <w:ind w:right="360"/>
            <w:jc w:val="both"/>
          </w:pPr>
          <w:r>
            <w:pict>
              <v:shape id="_x0000_s1028" o:spid="_x0000_s1028"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path/>
                <v:fill on="f" focussize="0,0"/>
                <v:stroke on="f" weight="0.5pt" joinstyle="miter"/>
                <v:imagedata o:title=""/>
                <o:lock v:ext="edit"/>
                <v:textbox inset="0mm,0mm,0mm,0mm" style="mso-fit-shape-to-text:t;">
                  <w:txbxContent>
                    <w:p w14:paraId="57649EF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txbxContent>
                </v:textbox>
              </v:shape>
            </w:pict>
          </w: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14:paraId="51CA2A49">
                      <w:pPr>
                        <w:pStyle w:val="11"/>
                      </w:pPr>
                    </w:p>
                  </w:txbxContent>
                </v:textbox>
              </v:shape>
            </w:pict>
          </w:r>
        </w:p>
      </w:tc>
    </w:tr>
  </w:tbl>
  <w:p w14:paraId="209C3B94">
    <w:pPr>
      <w:pStyle w:val="11"/>
      <w:tabs>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4ECE5">
    <w:pPr>
      <w:pStyle w:val="11"/>
    </w:pPr>
    <w:r>
      <w:pict>
        <v:shape id="_x0000_s1029" o:spid="_x0000_s102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path/>
          <v:fill on="f" focussize="0,0"/>
          <v:stroke on="f" weight="0.5pt" joinstyle="miter"/>
          <v:imagedata o:title=""/>
          <o:lock v:ext="edit"/>
          <v:textbox inset="0mm,0mm,0mm,0mm" style="mso-fit-shape-to-text:t;">
            <w:txbxContent>
              <w:p w14:paraId="6CE0CAD8">
                <w:pPr>
                  <w:pStyle w:val="11"/>
                </w:pPr>
                <w:r>
                  <w:fldChar w:fldCharType="begin"/>
                </w:r>
                <w:r>
                  <w:instrText xml:space="preserve"> PAGE  \* MERGEFORMAT </w:instrText>
                </w:r>
                <w:r>
                  <w:fldChar w:fldCharType="separate"/>
                </w:r>
                <w:r>
                  <w:t>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3B3EB">
    <w:pPr>
      <w:pStyle w:val="12"/>
      <w:tabs>
        <w:tab w:val="clear" w:pos="4153"/>
        <w:tab w:val="clear" w:pos="8306"/>
      </w:tabs>
      <w:jc w:val="both"/>
    </w:pPr>
    <w:r>
      <w:rPr>
        <w:rFonts w:hint="eastAsia"/>
      </w:rPr>
      <w:t xml:space="preserve">询价文件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EFC92">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B11EF">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cyNWY5MWRmZDQyYmZlNGEyZWMzYmZhNjA2MmNiYjQifQ=="/>
  </w:docVars>
  <w:rsids>
    <w:rsidRoot w:val="59835B2E"/>
    <w:rsid w:val="00035BE8"/>
    <w:rsid w:val="000371E3"/>
    <w:rsid w:val="00095BB0"/>
    <w:rsid w:val="000A12F7"/>
    <w:rsid w:val="000E48F8"/>
    <w:rsid w:val="001071B4"/>
    <w:rsid w:val="001218FD"/>
    <w:rsid w:val="001562CC"/>
    <w:rsid w:val="00163A52"/>
    <w:rsid w:val="00180342"/>
    <w:rsid w:val="0018484A"/>
    <w:rsid w:val="001B5C07"/>
    <w:rsid w:val="001F0E0C"/>
    <w:rsid w:val="002446AE"/>
    <w:rsid w:val="002537B1"/>
    <w:rsid w:val="002A58B1"/>
    <w:rsid w:val="002B4DC2"/>
    <w:rsid w:val="002F2C32"/>
    <w:rsid w:val="002F45B2"/>
    <w:rsid w:val="002F461D"/>
    <w:rsid w:val="002F47C8"/>
    <w:rsid w:val="00302655"/>
    <w:rsid w:val="00313D17"/>
    <w:rsid w:val="003759BB"/>
    <w:rsid w:val="003E7259"/>
    <w:rsid w:val="00433946"/>
    <w:rsid w:val="004F41EA"/>
    <w:rsid w:val="00594E16"/>
    <w:rsid w:val="005A06EB"/>
    <w:rsid w:val="005B2428"/>
    <w:rsid w:val="005F60E5"/>
    <w:rsid w:val="00606614"/>
    <w:rsid w:val="00685299"/>
    <w:rsid w:val="00685516"/>
    <w:rsid w:val="00691F6F"/>
    <w:rsid w:val="00697447"/>
    <w:rsid w:val="006D03BB"/>
    <w:rsid w:val="007136F1"/>
    <w:rsid w:val="0071599A"/>
    <w:rsid w:val="0074459C"/>
    <w:rsid w:val="00757EF2"/>
    <w:rsid w:val="00760A29"/>
    <w:rsid w:val="0076377C"/>
    <w:rsid w:val="007723DF"/>
    <w:rsid w:val="00774EF3"/>
    <w:rsid w:val="00820984"/>
    <w:rsid w:val="00835578"/>
    <w:rsid w:val="008554A4"/>
    <w:rsid w:val="0098674C"/>
    <w:rsid w:val="00A25BA9"/>
    <w:rsid w:val="00A83D1E"/>
    <w:rsid w:val="00AB184D"/>
    <w:rsid w:val="00B37E4E"/>
    <w:rsid w:val="00B54161"/>
    <w:rsid w:val="00BE4421"/>
    <w:rsid w:val="00C27F7B"/>
    <w:rsid w:val="00C65121"/>
    <w:rsid w:val="00C707C8"/>
    <w:rsid w:val="00C7234D"/>
    <w:rsid w:val="00CB7138"/>
    <w:rsid w:val="00D32502"/>
    <w:rsid w:val="00DC34CC"/>
    <w:rsid w:val="00DD28BF"/>
    <w:rsid w:val="00DE2D2C"/>
    <w:rsid w:val="00E23E6B"/>
    <w:rsid w:val="00E33481"/>
    <w:rsid w:val="00E433AC"/>
    <w:rsid w:val="00E90E70"/>
    <w:rsid w:val="00EB7BD7"/>
    <w:rsid w:val="00EF1929"/>
    <w:rsid w:val="00F2511F"/>
    <w:rsid w:val="00F343E1"/>
    <w:rsid w:val="00F63A56"/>
    <w:rsid w:val="00F806C0"/>
    <w:rsid w:val="00F8212C"/>
    <w:rsid w:val="00FD057B"/>
    <w:rsid w:val="027642E9"/>
    <w:rsid w:val="034E4A21"/>
    <w:rsid w:val="074B01AD"/>
    <w:rsid w:val="0E8D13D6"/>
    <w:rsid w:val="0F44355D"/>
    <w:rsid w:val="115376E2"/>
    <w:rsid w:val="11DC3A9F"/>
    <w:rsid w:val="16F7028D"/>
    <w:rsid w:val="173A664E"/>
    <w:rsid w:val="1B9F11A7"/>
    <w:rsid w:val="1C4B3D8B"/>
    <w:rsid w:val="1D974856"/>
    <w:rsid w:val="1DD464FF"/>
    <w:rsid w:val="206919F1"/>
    <w:rsid w:val="299802D6"/>
    <w:rsid w:val="29AD768A"/>
    <w:rsid w:val="2CEB06B4"/>
    <w:rsid w:val="2EFC2B3B"/>
    <w:rsid w:val="30EC4E63"/>
    <w:rsid w:val="32FB2F01"/>
    <w:rsid w:val="33C33694"/>
    <w:rsid w:val="3643461A"/>
    <w:rsid w:val="36C457CC"/>
    <w:rsid w:val="37914F7F"/>
    <w:rsid w:val="38641F41"/>
    <w:rsid w:val="3B1925BB"/>
    <w:rsid w:val="3B6C1D7D"/>
    <w:rsid w:val="3E002010"/>
    <w:rsid w:val="3F2E1764"/>
    <w:rsid w:val="451F1798"/>
    <w:rsid w:val="4C1307C4"/>
    <w:rsid w:val="4C65575F"/>
    <w:rsid w:val="4C9808FB"/>
    <w:rsid w:val="4D110360"/>
    <w:rsid w:val="4E487C6D"/>
    <w:rsid w:val="4F123E7A"/>
    <w:rsid w:val="55794C66"/>
    <w:rsid w:val="55CD64D1"/>
    <w:rsid w:val="55D751F9"/>
    <w:rsid w:val="59835B2E"/>
    <w:rsid w:val="5AE34496"/>
    <w:rsid w:val="5BDE134F"/>
    <w:rsid w:val="5D654BBF"/>
    <w:rsid w:val="600B2EF6"/>
    <w:rsid w:val="607C050A"/>
    <w:rsid w:val="677F3E55"/>
    <w:rsid w:val="68735896"/>
    <w:rsid w:val="69690D6B"/>
    <w:rsid w:val="6B7D3D34"/>
    <w:rsid w:val="6D3F5C0C"/>
    <w:rsid w:val="6E7C68DA"/>
    <w:rsid w:val="6E9A7D81"/>
    <w:rsid w:val="718F5027"/>
    <w:rsid w:val="726C6FA6"/>
    <w:rsid w:val="731E2BC7"/>
    <w:rsid w:val="736C78EA"/>
    <w:rsid w:val="73D2014D"/>
    <w:rsid w:val="780B365B"/>
    <w:rsid w:val="7AFE4400"/>
    <w:rsid w:val="7C5E5F96"/>
    <w:rsid w:val="7CA02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4">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21">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qFormat/>
    <w:uiPriority w:val="0"/>
    <w:pPr>
      <w:spacing w:after="120"/>
    </w:pPr>
    <w:rPr>
      <w:rFonts w:ascii="Calibri" w:hAnsi="Calibri"/>
    </w:rPr>
  </w:style>
  <w:style w:type="paragraph" w:styleId="8">
    <w:name w:val="Body Text Indent"/>
    <w:basedOn w:val="1"/>
    <w:qFormat/>
    <w:uiPriority w:val="0"/>
    <w:pPr>
      <w:ind w:firstLine="560" w:firstLineChars="200"/>
    </w:pPr>
    <w:rPr>
      <w:rFonts w:ascii="宋体" w:hAnsi="宋体"/>
      <w:sz w:val="28"/>
    </w:rPr>
  </w:style>
  <w:style w:type="paragraph" w:styleId="9">
    <w:name w:val="Date"/>
    <w:basedOn w:val="1"/>
    <w:next w:val="1"/>
    <w:qFormat/>
    <w:uiPriority w:val="0"/>
    <w:rPr>
      <w:sz w:val="28"/>
      <w:szCs w:val="20"/>
    </w:rPr>
  </w:style>
  <w:style w:type="paragraph" w:styleId="10">
    <w:name w:val="Balloon Text"/>
    <w:basedOn w:val="1"/>
    <w:link w:val="28"/>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4">
    <w:name w:val="toc 2"/>
    <w:basedOn w:val="1"/>
    <w:next w:val="1"/>
    <w:qFormat/>
    <w:uiPriority w:val="0"/>
    <w:pPr>
      <w:ind w:left="420" w:leftChars="200"/>
    </w:pPr>
  </w:style>
  <w:style w:type="paragraph" w:styleId="15">
    <w:name w:val="Normal (Web)"/>
    <w:basedOn w:val="1"/>
    <w:qFormat/>
    <w:uiPriority w:val="0"/>
    <w:pPr>
      <w:spacing w:before="100" w:beforeAutospacing="1" w:after="100" w:afterAutospacing="1"/>
      <w:jc w:val="left"/>
    </w:pPr>
    <w:rPr>
      <w:kern w:val="0"/>
      <w:sz w:val="24"/>
    </w:rPr>
  </w:style>
  <w:style w:type="paragraph" w:styleId="16">
    <w:name w:val="Title"/>
    <w:basedOn w:val="1"/>
    <w:next w:val="1"/>
    <w:qFormat/>
    <w:uiPriority w:val="0"/>
    <w:pPr>
      <w:jc w:val="center"/>
    </w:pPr>
    <w:rPr>
      <w:rFonts w:ascii="Arial Black" w:hAnsi="Arial Black" w:cs="Arial Black"/>
      <w:i/>
      <w:iCs/>
      <w:sz w:val="48"/>
      <w:szCs w:val="48"/>
    </w:rPr>
  </w:style>
  <w:style w:type="paragraph" w:styleId="17">
    <w:name w:val="annotation subject"/>
    <w:basedOn w:val="6"/>
    <w:next w:val="6"/>
    <w:qFormat/>
    <w:uiPriority w:val="0"/>
    <w:rPr>
      <w:rFonts w:ascii="宋体" w:hAnsi="Courier New"/>
      <w:szCs w:val="20"/>
    </w:rPr>
  </w:style>
  <w:style w:type="paragraph" w:styleId="18">
    <w:name w:val="Body Text First Indent"/>
    <w:basedOn w:val="7"/>
    <w:unhideWhenUsed/>
    <w:qFormat/>
    <w:uiPriority w:val="0"/>
    <w:pPr>
      <w:ind w:firstLine="420" w:firstLineChars="100"/>
    </w:pPr>
  </w:style>
  <w:style w:type="paragraph" w:styleId="19">
    <w:name w:val="Body Text First Indent 2"/>
    <w:basedOn w:val="8"/>
    <w:qFormat/>
    <w:uiPriority w:val="0"/>
    <w:pPr>
      <w:spacing w:beforeLines="50" w:afterLines="50" w:line="360" w:lineRule="auto"/>
      <w:ind w:left="480" w:firstLine="360"/>
      <w:jc w:val="left"/>
    </w:pPr>
    <w:rPr>
      <w:rFonts w:ascii="Times New Roman" w:hAnsi="Times New Roman"/>
      <w:sz w:val="24"/>
    </w:rPr>
  </w:style>
  <w:style w:type="character" w:styleId="22">
    <w:name w:val="Strong"/>
    <w:basedOn w:val="21"/>
    <w:qFormat/>
    <w:uiPriority w:val="0"/>
    <w:rPr>
      <w:b/>
    </w:rPr>
  </w:style>
  <w:style w:type="character" w:styleId="23">
    <w:name w:val="page number"/>
    <w:qFormat/>
    <w:uiPriority w:val="0"/>
  </w:style>
  <w:style w:type="character" w:styleId="24">
    <w:name w:val="Hyperlink"/>
    <w:qFormat/>
    <w:uiPriority w:val="99"/>
    <w:rPr>
      <w:color w:val="0000FF"/>
      <w:u w:val="single"/>
    </w:rPr>
  </w:style>
  <w:style w:type="paragraph" w:customStyle="1" w:styleId="25">
    <w:name w:val="ptdl"/>
    <w:basedOn w:val="1"/>
    <w:qFormat/>
    <w:uiPriority w:val="0"/>
    <w:pPr>
      <w:spacing w:after="156"/>
      <w:ind w:firstLine="480"/>
    </w:pPr>
    <w:rPr>
      <w:sz w:val="24"/>
      <w:szCs w:val="20"/>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8">
    <w:name w:val="批注框文本 Char"/>
    <w:basedOn w:val="21"/>
    <w:link w:val="10"/>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0"/>
    <customShpInfo spid="_x0000_s1026"/>
    <customShpInfo spid="_x0000_s1028"/>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20</Pages>
  <Words>1093</Words>
  <Characters>1171</Characters>
  <Lines>28</Lines>
  <Paragraphs>22</Paragraphs>
  <TotalTime>103</TotalTime>
  <ScaleCrop>false</ScaleCrop>
  <LinksUpToDate>false</LinksUpToDate>
  <CharactersWithSpaces>1496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2022-12-10T00:31:00Z</dcterms:created>
  <dc:creator>搁浅</dc:creator>
  <cp:lastModifiedBy>HBKANG</cp:lastModifiedBy>
  <cp:lastPrinted>2021-11-24T07:21:00Z</cp:lastPrinted>
  <dcterms:modified xsi:type="dcterms:W3CDTF">2025-05-19T02:21:07Z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E576BFDBA2F14CD1B5BFDAEC536C932D</vt:lpwstr>
  </property>
  <property fmtid="{D5CDD505-2E9C-101B-9397-08002B2CF9AE}" pid="4" name="KSOTemplateDocerSaveRecord">
    <vt:lpwstr>eyJoZGlkIjoiMTcyNWY5MWRmZDQyYmZlNGEyZWMzYmZhNjA2MmNiYjQiLCJ1c2VySWQiOiI0NDcyNjU5MDQifQ==</vt:lpwstr>
  </property>
</Properties>
</file>